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w:t>
      </w:r>
      <w:r w:rsidR="007147F7">
        <w:t>b.4</w:t>
      </w:r>
      <w:r w:rsidR="00F67C18" w:rsidRPr="00F67C18">
        <w:t xml:space="preserve"> </w:t>
      </w:r>
      <w:r w:rsidR="007147F7">
        <w:t xml:space="preserve">Common Clinical Data Set Summary Record </w:t>
      </w:r>
      <w:r w:rsidR="006E0B71">
        <w:t>–</w:t>
      </w:r>
      <w:r w:rsidR="007147F7">
        <w:t xml:space="preserve"> Create</w:t>
      </w:r>
    </w:p>
    <w:p w:rsidR="006E0B71" w:rsidRPr="006E0B71" w:rsidRDefault="006E0B71" w:rsidP="006E0B71"/>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521BE7" w:rsidTr="00DC0225">
        <w:trPr>
          <w:trHeight w:val="331"/>
        </w:trPr>
        <w:tc>
          <w:tcPr>
            <w:tcW w:w="4045" w:type="dxa"/>
            <w:shd w:val="clear" w:color="auto" w:fill="FFFFFF" w:themeFill="background1"/>
          </w:tcPr>
          <w:p w:rsidR="00521BE7" w:rsidRPr="00DC0225" w:rsidRDefault="00521BE7" w:rsidP="00521BE7">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521BE7" w:rsidRPr="00DC0225" w:rsidRDefault="00521BE7" w:rsidP="00521BE7">
            <w:pPr>
              <w:rPr>
                <w:rFonts w:ascii="Leelawadee UI" w:hAnsi="Leelawadee UI" w:cs="Leelawadee UI"/>
              </w:rPr>
            </w:pPr>
          </w:p>
        </w:tc>
      </w:tr>
      <w:tr w:rsidR="00521BE7" w:rsidTr="00DC0225">
        <w:trPr>
          <w:trHeight w:val="331"/>
        </w:trPr>
        <w:tc>
          <w:tcPr>
            <w:tcW w:w="4045" w:type="dxa"/>
            <w:shd w:val="clear" w:color="auto" w:fill="FFFFFF" w:themeFill="background1"/>
          </w:tcPr>
          <w:p w:rsidR="00521BE7" w:rsidRPr="00DC0225" w:rsidRDefault="00521BE7" w:rsidP="00521BE7">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521BE7" w:rsidRPr="00DC0225" w:rsidRDefault="00521BE7" w:rsidP="00521BE7">
            <w:pPr>
              <w:rPr>
                <w:rFonts w:ascii="Leelawadee UI" w:hAnsi="Leelawadee UI" w:cs="Leelawadee UI"/>
              </w:rPr>
            </w:pPr>
          </w:p>
        </w:tc>
      </w:tr>
      <w:tr w:rsidR="00521BE7" w:rsidTr="00DC0225">
        <w:trPr>
          <w:trHeight w:val="331"/>
        </w:trPr>
        <w:tc>
          <w:tcPr>
            <w:tcW w:w="4045" w:type="dxa"/>
            <w:shd w:val="clear" w:color="auto" w:fill="FFFFFF" w:themeFill="background1"/>
          </w:tcPr>
          <w:p w:rsidR="00521BE7" w:rsidRPr="00DC0225" w:rsidRDefault="00521BE7" w:rsidP="00521BE7">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521BE7" w:rsidRPr="00DC0225" w:rsidRDefault="00521BE7" w:rsidP="00521BE7">
            <w:pPr>
              <w:rPr>
                <w:rFonts w:ascii="Leelawadee UI" w:hAnsi="Leelawadee UI" w:cs="Leelawadee UI"/>
              </w:rPr>
            </w:pPr>
          </w:p>
        </w:tc>
      </w:tr>
      <w:tr w:rsidR="00521BE7" w:rsidTr="00DC0225">
        <w:trPr>
          <w:trHeight w:val="331"/>
        </w:trPr>
        <w:tc>
          <w:tcPr>
            <w:tcW w:w="4045" w:type="dxa"/>
            <w:shd w:val="clear" w:color="auto" w:fill="FFFFFF" w:themeFill="background1"/>
          </w:tcPr>
          <w:p w:rsidR="00521BE7" w:rsidRPr="00DC0225" w:rsidRDefault="00521BE7" w:rsidP="00521BE7">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521BE7" w:rsidRPr="00DC0225" w:rsidRDefault="00521BE7" w:rsidP="00521BE7">
            <w:pPr>
              <w:rPr>
                <w:rFonts w:ascii="Leelawadee UI" w:hAnsi="Leelawadee UI" w:cs="Leelawadee UI"/>
              </w:rPr>
            </w:pPr>
          </w:p>
        </w:tc>
      </w:tr>
      <w:tr w:rsidR="00521BE7" w:rsidTr="00DC0225">
        <w:trPr>
          <w:trHeight w:val="350"/>
        </w:trPr>
        <w:tc>
          <w:tcPr>
            <w:tcW w:w="4045" w:type="dxa"/>
            <w:shd w:val="clear" w:color="auto" w:fill="FFFFFF" w:themeFill="background1"/>
          </w:tcPr>
          <w:p w:rsidR="00521BE7" w:rsidRPr="00DC0225" w:rsidRDefault="00521BE7" w:rsidP="00521BE7">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521BE7" w:rsidRPr="00DC0225" w:rsidRDefault="00521BE7" w:rsidP="00521BE7">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521BE7" w:rsidTr="00DC0225">
        <w:trPr>
          <w:trHeight w:val="350"/>
        </w:trPr>
        <w:tc>
          <w:tcPr>
            <w:tcW w:w="4045" w:type="dxa"/>
            <w:shd w:val="clear" w:color="auto" w:fill="FFFFFF" w:themeFill="background1"/>
          </w:tcPr>
          <w:p w:rsidR="00521BE7" w:rsidRPr="00DC0225" w:rsidRDefault="00521BE7" w:rsidP="00521BE7">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521BE7" w:rsidRPr="00DC0225" w:rsidRDefault="00521BE7" w:rsidP="00521BE7">
            <w:pPr>
              <w:rPr>
                <w:rFonts w:ascii="Leelawadee UI" w:hAnsi="Leelawadee UI" w:cs="Leelawadee UI"/>
              </w:rPr>
            </w:pPr>
          </w:p>
        </w:tc>
      </w:tr>
      <w:tr w:rsidR="00521BE7" w:rsidTr="00DC0225">
        <w:trPr>
          <w:trHeight w:val="350"/>
        </w:trPr>
        <w:tc>
          <w:tcPr>
            <w:tcW w:w="4045" w:type="dxa"/>
            <w:shd w:val="clear" w:color="auto" w:fill="FFFFFF" w:themeFill="background1"/>
          </w:tcPr>
          <w:p w:rsidR="00521BE7" w:rsidRPr="00DC0225" w:rsidRDefault="00521BE7" w:rsidP="00521BE7">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521BE7" w:rsidRPr="00DC0225" w:rsidRDefault="00521BE7" w:rsidP="00521BE7">
            <w:pPr>
              <w:rPr>
                <w:rFonts w:ascii="Leelawadee UI" w:hAnsi="Leelawadee UI" w:cs="Leelawadee UI"/>
              </w:rPr>
            </w:pPr>
          </w:p>
        </w:tc>
      </w:tr>
      <w:tr w:rsidR="00521BE7" w:rsidTr="00DC0225">
        <w:trPr>
          <w:trHeight w:val="350"/>
        </w:trPr>
        <w:tc>
          <w:tcPr>
            <w:tcW w:w="4045" w:type="dxa"/>
            <w:shd w:val="clear" w:color="auto" w:fill="FFFFFF" w:themeFill="background1"/>
          </w:tcPr>
          <w:p w:rsidR="00521BE7" w:rsidRPr="00DC0225" w:rsidRDefault="00521BE7" w:rsidP="00521BE7">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521BE7" w:rsidRPr="00DC0225" w:rsidRDefault="00521BE7" w:rsidP="00521BE7">
            <w:pPr>
              <w:rPr>
                <w:rFonts w:ascii="Leelawadee UI" w:hAnsi="Leelawadee UI" w:cs="Leelawadee UI"/>
              </w:rPr>
            </w:pPr>
          </w:p>
        </w:tc>
      </w:tr>
      <w:tr w:rsidR="00521BE7" w:rsidTr="00DC0225">
        <w:trPr>
          <w:trHeight w:val="313"/>
        </w:trPr>
        <w:tc>
          <w:tcPr>
            <w:tcW w:w="4045" w:type="dxa"/>
            <w:shd w:val="clear" w:color="auto" w:fill="FFFFFF" w:themeFill="background1"/>
          </w:tcPr>
          <w:p w:rsidR="00521BE7" w:rsidRPr="00DC0225" w:rsidRDefault="00521BE7" w:rsidP="00521BE7">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521BE7" w:rsidRPr="00DC0225" w:rsidRDefault="00521BE7" w:rsidP="00521BE7">
            <w:pPr>
              <w:rPr>
                <w:rFonts w:ascii="Leelawadee UI" w:hAnsi="Leelawadee UI" w:cs="Leelawadee UI"/>
              </w:rPr>
            </w:pPr>
          </w:p>
        </w:tc>
      </w:tr>
    </w:tbl>
    <w:p w:rsidR="0053723B" w:rsidRDefault="0053723B" w:rsidP="0053723B">
      <w:pPr>
        <w:pStyle w:val="Heading3"/>
      </w:pPr>
      <w:r>
        <w:t>Overview</w:t>
      </w:r>
    </w:p>
    <w:p w:rsidR="0053723B" w:rsidRDefault="0053723B" w:rsidP="0053723B">
      <w:r>
        <w:t>In this document you will find:</w:t>
      </w:r>
    </w:p>
    <w:p w:rsidR="0053723B" w:rsidRDefault="008202F4" w:rsidP="0053723B">
      <w:pPr>
        <w:pStyle w:val="ListParagraph"/>
        <w:numPr>
          <w:ilvl w:val="0"/>
          <w:numId w:val="32"/>
        </w:numPr>
      </w:pPr>
      <w:hyperlink w:anchor="_Test_Data_and" w:history="1">
        <w:r w:rsidR="0053723B">
          <w:rPr>
            <w:rStyle w:val="Hyperlink"/>
          </w:rPr>
          <w:t>Test Data and Test Tools</w:t>
        </w:r>
      </w:hyperlink>
    </w:p>
    <w:p w:rsidR="0053723B" w:rsidRDefault="008202F4" w:rsidP="0053723B">
      <w:pPr>
        <w:pStyle w:val="ListParagraph"/>
        <w:numPr>
          <w:ilvl w:val="0"/>
          <w:numId w:val="32"/>
        </w:numPr>
      </w:pPr>
      <w:hyperlink w:anchor="_Demonstrate_Standards_Support" w:history="1">
        <w:r w:rsidR="0053723B">
          <w:rPr>
            <w:rStyle w:val="Hyperlink"/>
          </w:rPr>
          <w:t>Standards Support</w:t>
        </w:r>
      </w:hyperlink>
    </w:p>
    <w:p w:rsidR="0053723B" w:rsidRPr="00241B8B" w:rsidRDefault="008202F4" w:rsidP="0053723B">
      <w:pPr>
        <w:pStyle w:val="ListParagraph"/>
        <w:numPr>
          <w:ilvl w:val="0"/>
          <w:numId w:val="32"/>
        </w:numPr>
        <w:rPr>
          <w:rStyle w:val="Hyperlink"/>
          <w:color w:val="auto"/>
          <w:u w:val="none"/>
        </w:rPr>
      </w:pPr>
      <w:hyperlink w:anchor="_170.315(i)_Common_Clinical" w:history="1">
        <w:r w:rsidR="0053723B">
          <w:rPr>
            <w:rStyle w:val="Hyperlink"/>
          </w:rPr>
          <w:t>Drummond Test Report (Instructions, Expected Results, Points to Remember)</w:t>
        </w:r>
      </w:hyperlink>
    </w:p>
    <w:p w:rsidR="0053723B" w:rsidRPr="00241B8B" w:rsidRDefault="008202F4" w:rsidP="0053723B">
      <w:pPr>
        <w:pStyle w:val="ListParagraph"/>
        <w:numPr>
          <w:ilvl w:val="0"/>
          <w:numId w:val="32"/>
        </w:numPr>
        <w:rPr>
          <w:rStyle w:val="Hyperlink"/>
          <w:color w:val="auto"/>
          <w:u w:val="none"/>
        </w:rPr>
      </w:pPr>
      <w:hyperlink w:anchor="_Test_Procedures" w:history="1">
        <w:r w:rsidR="0053723B" w:rsidRPr="00241B8B">
          <w:rPr>
            <w:rStyle w:val="Hyperlink"/>
          </w:rPr>
          <w:t>Test Procedures</w:t>
        </w:r>
      </w:hyperlink>
    </w:p>
    <w:p w:rsidR="0053723B" w:rsidRDefault="008202F4" w:rsidP="0053723B">
      <w:pPr>
        <w:pStyle w:val="ListParagraph"/>
        <w:numPr>
          <w:ilvl w:val="0"/>
          <w:numId w:val="32"/>
        </w:numPr>
      </w:pPr>
      <w:hyperlink w:anchor="_Appendix_A:_Testing" w:history="1">
        <w:r w:rsidR="0053723B" w:rsidRPr="00241B8B">
          <w:rPr>
            <w:rStyle w:val="Hyperlink"/>
          </w:rPr>
          <w:t>Appendix A: Testing Guide</w:t>
        </w:r>
      </w:hyperlink>
    </w:p>
    <w:p w:rsidR="0053723B" w:rsidRDefault="008202F4" w:rsidP="0053723B">
      <w:pPr>
        <w:pStyle w:val="ListParagraph"/>
        <w:numPr>
          <w:ilvl w:val="0"/>
          <w:numId w:val="32"/>
        </w:numPr>
      </w:pPr>
      <w:hyperlink w:anchor="_Appendix_B:_ONC" w:history="1">
        <w:r w:rsidR="0053723B">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1B30AE"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6E0B71">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40152" w:rsidRDefault="00940152">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6E0B71">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6E0B71">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Pr>
                <w:rFonts w:ascii="Leelawadee UI" w:hAnsi="Leelawadee UI" w:cs="Leelawadee UI"/>
                <w:b/>
              </w:rPr>
              <w:t>Pre-Test Data Setup:</w:t>
            </w:r>
          </w:p>
          <w:p w:rsidR="009D5A77" w:rsidRPr="00393AF4" w:rsidRDefault="00446D64" w:rsidP="00533B2E">
            <w:pPr>
              <w:pStyle w:val="ListParagraph"/>
            </w:pPr>
            <w:r>
              <w:rPr>
                <w:rFonts w:ascii="Leelawadee UI" w:hAnsi="Leelawadee UI" w:cs="Leelawadee UI"/>
              </w:rPr>
              <w:t>Health IT developer p</w:t>
            </w:r>
            <w:r w:rsidR="003121A8">
              <w:rPr>
                <w:rFonts w:ascii="Leelawadee UI" w:hAnsi="Leelawadee UI" w:cs="Leelawadee UI"/>
              </w:rPr>
              <w:t>re-load</w:t>
            </w:r>
            <w:r>
              <w:rPr>
                <w:rFonts w:ascii="Leelawadee UI" w:hAnsi="Leelawadee UI" w:cs="Leelawadee UI"/>
              </w:rPr>
              <w:t>s</w:t>
            </w:r>
            <w:r w:rsidR="005E7FDE" w:rsidRPr="006E0B71">
              <w:rPr>
                <w:rFonts w:ascii="Leelawadee UI" w:hAnsi="Leelawadee UI" w:cs="Leelawadee UI"/>
              </w:rPr>
              <w:t xml:space="preserve"> </w:t>
            </w:r>
            <w:r w:rsidR="003121A8">
              <w:rPr>
                <w:rFonts w:ascii="Leelawadee UI" w:hAnsi="Leelawadee UI" w:cs="Leelawadee UI"/>
              </w:rPr>
              <w:t xml:space="preserve">the </w:t>
            </w:r>
            <w:r w:rsidR="0088283A" w:rsidRPr="006E0B71">
              <w:rPr>
                <w:rFonts w:ascii="Leelawadee UI" w:hAnsi="Leelawadee UI" w:cs="Leelawadee UI"/>
              </w:rPr>
              <w:t>170.315(b</w:t>
            </w:r>
            <w:proofErr w:type="gramStart"/>
            <w:r w:rsidR="0088283A" w:rsidRPr="006E0B71">
              <w:rPr>
                <w:rFonts w:ascii="Leelawadee UI" w:hAnsi="Leelawadee UI" w:cs="Leelawadee UI"/>
              </w:rPr>
              <w:t>)(</w:t>
            </w:r>
            <w:proofErr w:type="gramEnd"/>
            <w:r w:rsidR="0088283A" w:rsidRPr="006E0B71">
              <w:rPr>
                <w:rFonts w:ascii="Leelawadee UI" w:hAnsi="Leelawadee UI" w:cs="Leelawadee UI"/>
              </w:rPr>
              <w:t>4</w:t>
            </w:r>
            <w:r w:rsidR="005E7FDE" w:rsidRPr="006E0B71">
              <w:rPr>
                <w:rFonts w:ascii="Leelawadee UI" w:hAnsi="Leelawadee UI" w:cs="Leelawadee UI"/>
              </w:rPr>
              <w:t xml:space="preserve">) </w:t>
            </w:r>
            <w:r w:rsidR="00BD0EAB">
              <w:rPr>
                <w:rFonts w:ascii="Leelawadee UI" w:hAnsi="Leelawadee UI" w:cs="Leelawadee UI"/>
              </w:rPr>
              <w:t xml:space="preserve">ONC </w:t>
            </w:r>
            <w:r w:rsidR="005E7FDE" w:rsidRPr="006E0B71">
              <w:rPr>
                <w:rFonts w:ascii="Leelawadee UI" w:hAnsi="Leelawadee UI" w:cs="Leelawadee UI"/>
              </w:rPr>
              <w:t>test data</w:t>
            </w:r>
            <w:r w:rsidR="0088283A" w:rsidRPr="006E0B71">
              <w:rPr>
                <w:rFonts w:ascii="Leelawadee UI" w:hAnsi="Leelawadee UI" w:cs="Leelawadee UI"/>
              </w:rPr>
              <w:t xml:space="preserve"> </w:t>
            </w:r>
            <w:r w:rsidR="0071702C">
              <w:rPr>
                <w:rFonts w:ascii="Leelawadee UI" w:hAnsi="Leelawadee UI" w:cs="Leelawadee UI"/>
              </w:rPr>
              <w:t xml:space="preserve">specified </w:t>
            </w:r>
            <w:r w:rsidR="003121A8">
              <w:rPr>
                <w:rFonts w:ascii="Leelawadee UI" w:hAnsi="Leelawadee UI" w:cs="Leelawadee UI"/>
              </w:rPr>
              <w:t>below based on</w:t>
            </w:r>
            <w:r w:rsidR="0088283A" w:rsidRPr="006E0B71">
              <w:rPr>
                <w:rFonts w:ascii="Leelawadee UI" w:hAnsi="Leelawadee UI" w:cs="Leelawadee UI"/>
              </w:rPr>
              <w:t xml:space="preserve"> health care setting.</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E043E4" w:rsidRPr="0077288E" w:rsidRDefault="00E043E4" w:rsidP="00E043E4">
            <w:pPr>
              <w:pStyle w:val="ListParagraph"/>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w:t>
            </w:r>
            <w:r w:rsidR="00F7067F">
              <w:rPr>
                <w:rFonts w:ascii="Leelawadee UI" w:hAnsi="Leelawadee UI" w:cs="Leelawadee UI"/>
              </w:rPr>
              <w:t>Sender</w:t>
            </w:r>
            <w:r>
              <w:rPr>
                <w:rFonts w:ascii="Leelawadee UI" w:hAnsi="Leelawadee UI" w:cs="Leelawadee UI"/>
              </w:rPr>
              <w:t xml:space="preserve"> SUT Test Data” selection:</w:t>
            </w:r>
            <w:r w:rsidRPr="0077288E">
              <w:rPr>
                <w:rFonts w:ascii="Leelawadee UI" w:hAnsi="Leelawadee UI" w:cs="Leelawadee UI"/>
              </w:rPr>
              <w:t xml:space="preserve"> </w:t>
            </w:r>
          </w:p>
          <w:p w:rsidR="00797574" w:rsidRPr="00687D99" w:rsidRDefault="00797574" w:rsidP="00AE7832">
            <w:pPr>
              <w:pStyle w:val="ListParagraph"/>
              <w:numPr>
                <w:ilvl w:val="1"/>
                <w:numId w:val="42"/>
              </w:numPr>
              <w:rPr>
                <w:rFonts w:ascii="Leelawadee UI" w:hAnsi="Leelawadee UI" w:cs="Leelawadee UI"/>
              </w:rPr>
            </w:pPr>
            <w:r w:rsidRPr="00687D99">
              <w:rPr>
                <w:rFonts w:ascii="Leelawadee UI" w:hAnsi="Leelawadee UI" w:cs="Leelawadee UI"/>
              </w:rPr>
              <w:t>Inpatie</w:t>
            </w:r>
            <w:r w:rsidR="00393AF4" w:rsidRPr="00687D99">
              <w:rPr>
                <w:rFonts w:ascii="Leelawadee UI" w:hAnsi="Leelawadee UI" w:cs="Leelawadee UI"/>
              </w:rPr>
              <w:t xml:space="preserve">nt Setting: </w:t>
            </w:r>
            <w:r w:rsidR="00687D99">
              <w:rPr>
                <w:rFonts w:ascii="Leelawadee UI" w:hAnsi="Leelawadee UI" w:cs="Leelawadee UI"/>
              </w:rPr>
              <w:t>“</w:t>
            </w:r>
            <w:r w:rsidR="00393AF4" w:rsidRPr="00687D99">
              <w:rPr>
                <w:rFonts w:ascii="Leelawadee UI" w:hAnsi="Leelawadee UI" w:cs="Leelawadee UI"/>
              </w:rPr>
              <w:t>170.315_b4</w:t>
            </w:r>
            <w:r w:rsidRPr="00687D99">
              <w:rPr>
                <w:rFonts w:ascii="Leelawadee UI" w:hAnsi="Leelawadee UI" w:cs="Leelawadee UI"/>
              </w:rPr>
              <w:t>_</w:t>
            </w:r>
            <w:r w:rsidR="00687D99">
              <w:rPr>
                <w:rFonts w:ascii="Leelawadee UI" w:hAnsi="Leelawadee UI" w:cs="Leelawadee UI"/>
              </w:rPr>
              <w:t>CCDS</w:t>
            </w:r>
            <w:r w:rsidR="008B4623" w:rsidRPr="00687D99">
              <w:rPr>
                <w:rFonts w:ascii="Leelawadee UI" w:hAnsi="Leelawadee UI" w:cs="Leelawadee UI"/>
              </w:rPr>
              <w:t>_</w:t>
            </w:r>
            <w:r w:rsidR="00687D99">
              <w:rPr>
                <w:rFonts w:ascii="Leelawadee UI" w:hAnsi="Leelawadee UI" w:cs="Leelawadee UI"/>
              </w:rPr>
              <w:t>Inp”</w:t>
            </w:r>
            <w:r w:rsidRPr="00687D99">
              <w:rPr>
                <w:rFonts w:ascii="Leelawadee UI" w:hAnsi="Leelawadee UI" w:cs="Leelawadee UI"/>
              </w:rPr>
              <w:t xml:space="preserve"> (All</w:t>
            </w:r>
            <w:r w:rsidR="00687D99">
              <w:rPr>
                <w:rFonts w:ascii="Leelawadee UI" w:hAnsi="Leelawadee UI" w:cs="Leelawadee UI"/>
              </w:rPr>
              <w:t xml:space="preserve"> </w:t>
            </w:r>
            <w:r w:rsidR="00224041">
              <w:rPr>
                <w:rFonts w:ascii="Leelawadee UI" w:hAnsi="Leelawadee UI" w:cs="Leelawadee UI"/>
              </w:rPr>
              <w:t>S</w:t>
            </w:r>
            <w:r w:rsidRPr="00687D99">
              <w:rPr>
                <w:rFonts w:ascii="Leelawadee UI" w:hAnsi="Leelawadee UI" w:cs="Leelawadee UI"/>
              </w:rPr>
              <w:t>amples)</w:t>
            </w:r>
          </w:p>
          <w:p w:rsidR="000F59B3" w:rsidRPr="006E0B71" w:rsidRDefault="00393AF4" w:rsidP="00224041">
            <w:pPr>
              <w:pStyle w:val="ListParagraph"/>
              <w:numPr>
                <w:ilvl w:val="1"/>
                <w:numId w:val="42"/>
              </w:numPr>
              <w:rPr>
                <w:rFonts w:ascii="Leelawadee UI" w:hAnsi="Leelawadee UI" w:cs="Leelawadee UI"/>
                <w:b/>
                <w:sz w:val="22"/>
                <w:szCs w:val="22"/>
              </w:rPr>
            </w:pPr>
            <w:r w:rsidRPr="00687D99">
              <w:rPr>
                <w:rFonts w:ascii="Leelawadee UI" w:hAnsi="Leelawadee UI" w:cs="Leelawadee UI"/>
              </w:rPr>
              <w:t xml:space="preserve">Ambulatory Setting: </w:t>
            </w:r>
            <w:r w:rsidR="00687D99">
              <w:rPr>
                <w:rFonts w:ascii="Leelawadee UI" w:hAnsi="Leelawadee UI" w:cs="Leelawadee UI"/>
              </w:rPr>
              <w:t>“</w:t>
            </w:r>
            <w:r w:rsidRPr="00687D99">
              <w:rPr>
                <w:rFonts w:ascii="Leelawadee UI" w:hAnsi="Leelawadee UI" w:cs="Leelawadee UI"/>
              </w:rPr>
              <w:t>170.315_b4_</w:t>
            </w:r>
            <w:r w:rsidR="00687D99">
              <w:rPr>
                <w:rFonts w:ascii="Leelawadee UI" w:hAnsi="Leelawadee UI" w:cs="Leelawadee UI"/>
              </w:rPr>
              <w:t>CCDS</w:t>
            </w:r>
            <w:r w:rsidR="008B4623" w:rsidRPr="00687D99">
              <w:rPr>
                <w:rFonts w:ascii="Leelawadee UI" w:hAnsi="Leelawadee UI" w:cs="Leelawadee UI"/>
              </w:rPr>
              <w:t>_</w:t>
            </w:r>
            <w:r w:rsidR="00687D99">
              <w:rPr>
                <w:rFonts w:ascii="Leelawadee UI" w:hAnsi="Leelawadee UI" w:cs="Leelawadee UI"/>
              </w:rPr>
              <w:t>Amb”</w:t>
            </w:r>
            <w:r w:rsidR="00797574" w:rsidRPr="00687D99">
              <w:rPr>
                <w:rFonts w:ascii="Leelawadee UI" w:hAnsi="Leelawadee UI" w:cs="Leelawadee UI"/>
              </w:rPr>
              <w:t xml:space="preserve"> (All Samples)</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7452D1" w:rsidRPr="001C524F" w:rsidRDefault="007452D1" w:rsidP="007452D1">
            <w:pPr>
              <w:pStyle w:val="ListParagraph"/>
              <w:rPr>
                <w:rFonts w:ascii="Leelawadee UI" w:hAnsi="Leelawadee UI" w:cs="Leelawadee UI"/>
              </w:rPr>
            </w:pPr>
            <w:r>
              <w:rPr>
                <w:rFonts w:ascii="Leelawadee UI" w:hAnsi="Leelawadee UI" w:cs="Leelawadee UI"/>
              </w:rPr>
              <w:t xml:space="preserve">Edge Test Tool – Message Validators: </w:t>
            </w:r>
            <w:hyperlink r:id="rId9" w:anchor="/validators" w:history="1">
              <w:r>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E043E4">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E043E4">
              <w:rPr>
                <w:rFonts w:ascii="Leelawadee UI" w:hAnsi="Leelawadee UI" w:cs="Leelawadee UI"/>
              </w:rPr>
              <w:t>Implement support for standards to demonstrate compliance creating summary care records.</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CD774E" w:rsidRPr="005F4354" w:rsidTr="00CD774E">
        <w:trPr>
          <w:trHeight w:val="432"/>
        </w:trPr>
        <w:tc>
          <w:tcPr>
            <w:tcW w:w="8455" w:type="dxa"/>
            <w:gridSpan w:val="3"/>
            <w:shd w:val="clear" w:color="auto" w:fill="DBE5F1" w:themeFill="accent1" w:themeFillTint="33"/>
          </w:tcPr>
          <w:p w:rsidR="00CD774E" w:rsidRPr="005F4354" w:rsidRDefault="00CD774E" w:rsidP="00BB36BF">
            <w:pPr>
              <w:rPr>
                <w:rFonts w:ascii="Leelawadee UI" w:hAnsi="Leelawadee UI" w:cs="Leelawadee UI"/>
                <w:b/>
              </w:rPr>
            </w:pPr>
            <w:r w:rsidRPr="00CD774E">
              <w:rPr>
                <w:rFonts w:ascii="Leelawadee UI" w:hAnsi="Leelawadee UI" w:cs="Leelawadee UI"/>
                <w:b/>
              </w:rPr>
              <w:t>§170.205 Content Exchange Standards – Patient Summary Record</w:t>
            </w:r>
          </w:p>
        </w:tc>
      </w:tr>
      <w:tr w:rsidR="00940152" w:rsidTr="00940152">
        <w:trPr>
          <w:trHeight w:val="432"/>
        </w:trPr>
        <w:sdt>
          <w:sdtPr>
            <w:id w:val="-41057905"/>
            <w14:checkbox>
              <w14:checked w14:val="0"/>
              <w14:checkedState w14:val="2612" w14:font="Arial Unicode MS"/>
              <w14:uncheckedState w14:val="2610" w14:font="Arial Unicode MS"/>
            </w14:checkbox>
          </w:sdtPr>
          <w:sdtEndPr/>
          <w:sdtContent>
            <w:tc>
              <w:tcPr>
                <w:tcW w:w="456" w:type="dxa"/>
              </w:tcPr>
              <w:p w:rsidR="00940152" w:rsidRDefault="00940152" w:rsidP="0092448C">
                <w:r w:rsidRPr="000558FE">
                  <w:rPr>
                    <w:rFonts w:ascii="MS Gothic" w:eastAsia="MS Gothic" w:hAnsi="MS Gothic" w:hint="eastAsia"/>
                  </w:rPr>
                  <w:t>☐</w:t>
                </w:r>
              </w:p>
            </w:tc>
          </w:sdtContent>
        </w:sdt>
        <w:tc>
          <w:tcPr>
            <w:tcW w:w="2509" w:type="dxa"/>
          </w:tcPr>
          <w:p w:rsidR="00940152" w:rsidRPr="00E074CB" w:rsidRDefault="00940152" w:rsidP="00940152">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940152" w:rsidRPr="00E074CB" w:rsidRDefault="008202F4" w:rsidP="0092448C">
            <w:pPr>
              <w:rPr>
                <w:b/>
                <w:color w:val="000000" w:themeColor="text1"/>
              </w:rPr>
            </w:pPr>
            <w:hyperlink r:id="rId10" w:history="1">
              <w:r w:rsidR="00963F80">
                <w:rPr>
                  <w:rStyle w:val="Hyperlink"/>
                </w:rPr>
                <w:t>HL7 Implementation Guide for CDA® Release 2: IHE Health Story Consolidation, DSTU Release 1.1 (US Realm) Draft Standard for Trial Use July 2012</w:t>
              </w:r>
            </w:hyperlink>
          </w:p>
        </w:tc>
      </w:tr>
      <w:tr w:rsidR="00940152" w:rsidRPr="00E074CB" w:rsidTr="00940152">
        <w:trPr>
          <w:trHeight w:val="432"/>
        </w:trPr>
        <w:sdt>
          <w:sdtPr>
            <w:id w:val="-682278107"/>
            <w14:checkbox>
              <w14:checked w14:val="0"/>
              <w14:checkedState w14:val="2612" w14:font="Arial Unicode MS"/>
              <w14:uncheckedState w14:val="2610" w14:font="Arial Unicode MS"/>
            </w14:checkbox>
          </w:sdtPr>
          <w:sdtEndPr/>
          <w:sdtContent>
            <w:tc>
              <w:tcPr>
                <w:tcW w:w="456" w:type="dxa"/>
              </w:tcPr>
              <w:p w:rsidR="00940152" w:rsidRDefault="00940152" w:rsidP="0092448C">
                <w:r w:rsidRPr="000558FE">
                  <w:rPr>
                    <w:rFonts w:ascii="MS Gothic" w:eastAsia="MS Gothic" w:hAnsi="MS Gothic" w:hint="eastAsia"/>
                  </w:rPr>
                  <w:t>☐</w:t>
                </w:r>
              </w:p>
            </w:tc>
          </w:sdtContent>
        </w:sdt>
        <w:tc>
          <w:tcPr>
            <w:tcW w:w="2509" w:type="dxa"/>
          </w:tcPr>
          <w:p w:rsidR="00940152" w:rsidRPr="00E074CB" w:rsidRDefault="00940152" w:rsidP="00940152">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940152" w:rsidRPr="00E074CB" w:rsidRDefault="008202F4" w:rsidP="0092448C">
            <w:pPr>
              <w:rPr>
                <w:b/>
                <w:color w:val="000000" w:themeColor="text1"/>
              </w:rPr>
            </w:pPr>
            <w:hyperlink r:id="rId11" w:history="1">
              <w:r w:rsidR="00963F80">
                <w:rPr>
                  <w:rStyle w:val="Hyperlink"/>
                </w:rPr>
                <w:t>HL7 Implementation Guide for CDA Release 2 Consolidated CDA Templates for Clinical Notes (US Realm), Draft Standard for Trial Use Release 2.1, August 2015</w:t>
              </w:r>
            </w:hyperlink>
          </w:p>
        </w:tc>
      </w:tr>
      <w:tr w:rsidR="00883948" w:rsidRPr="005F4354" w:rsidTr="000C6F74">
        <w:trPr>
          <w:trHeight w:val="432"/>
        </w:trPr>
        <w:tc>
          <w:tcPr>
            <w:tcW w:w="8455" w:type="dxa"/>
            <w:gridSpan w:val="3"/>
            <w:shd w:val="clear" w:color="auto" w:fill="DBE5F1" w:themeFill="accent1" w:themeFillTint="33"/>
          </w:tcPr>
          <w:p w:rsidR="00883948" w:rsidRPr="005F4354" w:rsidRDefault="00883948" w:rsidP="00883948">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940152" w:rsidRPr="00E074CB" w:rsidTr="00940152">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940152" w:rsidRDefault="0064116B" w:rsidP="00883948">
                <w:r w:rsidRPr="000558FE">
                  <w:rPr>
                    <w:rFonts w:ascii="MS Gothic" w:eastAsia="MS Gothic" w:hAnsi="MS Gothic" w:hint="eastAsia"/>
                  </w:rPr>
                  <w:t>☐</w:t>
                </w:r>
              </w:p>
            </w:tc>
          </w:sdtContent>
        </w:sdt>
        <w:tc>
          <w:tcPr>
            <w:tcW w:w="2509" w:type="dxa"/>
          </w:tcPr>
          <w:p w:rsidR="00940152" w:rsidRPr="00940152" w:rsidRDefault="00940152" w:rsidP="00940152">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940152" w:rsidRPr="00CB4D6B" w:rsidRDefault="008202F4" w:rsidP="00883948">
            <w:pPr>
              <w:outlineLvl w:val="3"/>
            </w:pPr>
            <w:hyperlink r:id="rId12" w:history="1">
              <w:r w:rsidR="00963F80">
                <w:rPr>
                  <w:rStyle w:val="Hyperlink"/>
                </w:rPr>
                <w:t>IHTSDO SNOMED CT®, U.S. Edition, September 2015 Release</w:t>
              </w:r>
            </w:hyperlink>
          </w:p>
        </w:tc>
      </w:tr>
      <w:tr w:rsidR="00940152" w:rsidRPr="00E074CB" w:rsidTr="00940152">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940152" w:rsidRPr="00940152" w:rsidRDefault="0064116B" w:rsidP="00883948">
                <w:pPr>
                  <w:rPr>
                    <w:color w:val="000000" w:themeColor="text1"/>
                  </w:rPr>
                </w:pPr>
                <w:r w:rsidRPr="000558FE">
                  <w:rPr>
                    <w:rFonts w:ascii="MS Gothic" w:eastAsia="MS Gothic" w:hAnsi="MS Gothic" w:hint="eastAsia"/>
                  </w:rPr>
                  <w:t>☐</w:t>
                </w:r>
              </w:p>
            </w:tc>
          </w:sdtContent>
        </w:sdt>
        <w:tc>
          <w:tcPr>
            <w:tcW w:w="2509" w:type="dxa"/>
          </w:tcPr>
          <w:p w:rsidR="00940152" w:rsidRPr="00940152" w:rsidRDefault="00940152" w:rsidP="00940152">
            <w:pPr>
              <w:outlineLvl w:val="3"/>
              <w:rPr>
                <w:color w:val="000000" w:themeColor="text1"/>
              </w:rPr>
            </w:pPr>
            <w:r w:rsidRPr="00940152">
              <w:rPr>
                <w:color w:val="000000" w:themeColor="text1"/>
              </w:rPr>
              <w:t xml:space="preserve">§170.207(b)(2) </w:t>
            </w:r>
          </w:p>
        </w:tc>
        <w:tc>
          <w:tcPr>
            <w:tcW w:w="5490" w:type="dxa"/>
          </w:tcPr>
          <w:p w:rsidR="00940152" w:rsidRPr="00CB4D6B" w:rsidRDefault="00940152" w:rsidP="00883948">
            <w:pPr>
              <w:outlineLvl w:val="3"/>
            </w:pPr>
            <w:r w:rsidRPr="00CB4D6B">
              <w:t>45 CFR 162.1002(a)(5)—combination of HCPCS and CPT-4</w:t>
            </w:r>
          </w:p>
        </w:tc>
      </w:tr>
      <w:tr w:rsidR="00940152" w:rsidRPr="00E074CB" w:rsidTr="00940152">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940152" w:rsidRDefault="0064116B" w:rsidP="00883948">
                <w:r w:rsidRPr="000558FE">
                  <w:rPr>
                    <w:rFonts w:ascii="MS Gothic" w:eastAsia="MS Gothic" w:hAnsi="MS Gothic" w:hint="eastAsia"/>
                  </w:rPr>
                  <w:t>☐</w:t>
                </w:r>
              </w:p>
            </w:tc>
          </w:sdtContent>
        </w:sdt>
        <w:tc>
          <w:tcPr>
            <w:tcW w:w="2509" w:type="dxa"/>
          </w:tcPr>
          <w:p w:rsidR="00940152" w:rsidRPr="00940152" w:rsidRDefault="00940152" w:rsidP="00D83125">
            <w:pPr>
              <w:outlineLvl w:val="3"/>
              <w:rPr>
                <w:color w:val="000000" w:themeColor="text1"/>
              </w:rPr>
            </w:pPr>
            <w:r w:rsidRPr="00940152">
              <w:rPr>
                <w:color w:val="000000" w:themeColor="text1"/>
              </w:rPr>
              <w:t xml:space="preserve">§170.207(b)(3) </w:t>
            </w:r>
          </w:p>
        </w:tc>
        <w:tc>
          <w:tcPr>
            <w:tcW w:w="5490" w:type="dxa"/>
          </w:tcPr>
          <w:p w:rsidR="00940152" w:rsidRPr="003E40F9" w:rsidRDefault="00940152" w:rsidP="00883948">
            <w:pPr>
              <w:outlineLvl w:val="3"/>
            </w:pPr>
            <w:r w:rsidRPr="003E40F9">
              <w:t>45 CFR 162.1002(a</w:t>
            </w:r>
            <w:proofErr w:type="gramStart"/>
            <w:r w:rsidRPr="003E40F9">
              <w:t>)(</w:t>
            </w:r>
            <w:proofErr w:type="gramEnd"/>
            <w:r w:rsidRPr="003E40F9">
              <w:t>4)—Code on Dental Procedures and Nomenclature.</w:t>
            </w:r>
          </w:p>
        </w:tc>
      </w:tr>
      <w:tr w:rsidR="00940152" w:rsidRPr="00E074CB" w:rsidTr="00940152">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940152" w:rsidRDefault="0064116B" w:rsidP="00883948">
                <w:r w:rsidRPr="000558FE">
                  <w:rPr>
                    <w:rFonts w:ascii="MS Gothic" w:eastAsia="MS Gothic" w:hAnsi="MS Gothic" w:hint="eastAsia"/>
                  </w:rPr>
                  <w:t>☐</w:t>
                </w:r>
              </w:p>
            </w:tc>
          </w:sdtContent>
        </w:sdt>
        <w:tc>
          <w:tcPr>
            <w:tcW w:w="2509" w:type="dxa"/>
          </w:tcPr>
          <w:p w:rsidR="00940152" w:rsidRPr="00940152" w:rsidRDefault="00D83125" w:rsidP="00D83125">
            <w:pPr>
              <w:outlineLvl w:val="3"/>
              <w:rPr>
                <w:color w:val="000000" w:themeColor="text1"/>
              </w:rPr>
            </w:pPr>
            <w:r>
              <w:rPr>
                <w:color w:val="000000" w:themeColor="text1"/>
              </w:rPr>
              <w:t>§170.207</w:t>
            </w:r>
            <w:r w:rsidR="00940152" w:rsidRPr="00940152">
              <w:rPr>
                <w:color w:val="000000" w:themeColor="text1"/>
              </w:rPr>
              <w:t xml:space="preserve">(b)(4) </w:t>
            </w:r>
          </w:p>
        </w:tc>
        <w:tc>
          <w:tcPr>
            <w:tcW w:w="5490" w:type="dxa"/>
          </w:tcPr>
          <w:p w:rsidR="00940152" w:rsidRPr="003E40F9" w:rsidRDefault="00940152" w:rsidP="00883948">
            <w:pPr>
              <w:outlineLvl w:val="3"/>
            </w:pPr>
            <w:r w:rsidRPr="003E40F9">
              <w:t>45 CFR 162.1002(c)(3)—ICD-10-PCS</w:t>
            </w:r>
          </w:p>
        </w:tc>
      </w:tr>
      <w:tr w:rsidR="00940152" w:rsidRPr="00E074CB" w:rsidTr="00940152">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940152" w:rsidRDefault="0064116B" w:rsidP="00883948">
                <w:r w:rsidRPr="000558FE">
                  <w:rPr>
                    <w:rFonts w:ascii="MS Gothic" w:eastAsia="MS Gothic" w:hAnsi="MS Gothic" w:hint="eastAsia"/>
                  </w:rPr>
                  <w:t>☐</w:t>
                </w:r>
              </w:p>
            </w:tc>
          </w:sdtContent>
        </w:sdt>
        <w:tc>
          <w:tcPr>
            <w:tcW w:w="2509" w:type="dxa"/>
          </w:tcPr>
          <w:p w:rsidR="00940152" w:rsidRPr="00940152" w:rsidRDefault="00D83125" w:rsidP="00940152">
            <w:pPr>
              <w:outlineLvl w:val="3"/>
              <w:rPr>
                <w:color w:val="000000" w:themeColor="text1"/>
              </w:rPr>
            </w:pPr>
            <w:r>
              <w:rPr>
                <w:color w:val="000000" w:themeColor="text1"/>
              </w:rPr>
              <w:t>§170.207</w:t>
            </w:r>
            <w:r w:rsidR="00940152" w:rsidRPr="00940152">
              <w:rPr>
                <w:color w:val="000000" w:themeColor="text1"/>
              </w:rPr>
              <w:t xml:space="preserve">(c)(3) </w:t>
            </w:r>
          </w:p>
        </w:tc>
        <w:tc>
          <w:tcPr>
            <w:tcW w:w="5490" w:type="dxa"/>
          </w:tcPr>
          <w:p w:rsidR="00940152" w:rsidRPr="003E40F9" w:rsidRDefault="00940152" w:rsidP="00883948">
            <w:pPr>
              <w:outlineLvl w:val="3"/>
            </w:pPr>
            <w:r w:rsidRPr="003E40F9">
              <w:t>LOINC® Database version 2.52.</w:t>
            </w:r>
          </w:p>
        </w:tc>
      </w:tr>
      <w:tr w:rsidR="00940152" w:rsidRPr="00E074CB" w:rsidTr="00940152">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940152" w:rsidRDefault="0064116B" w:rsidP="00883948">
                <w:r w:rsidRPr="000558FE">
                  <w:rPr>
                    <w:rFonts w:ascii="MS Gothic" w:eastAsia="MS Gothic" w:hAnsi="MS Gothic" w:hint="eastAsia"/>
                  </w:rPr>
                  <w:t>☐</w:t>
                </w:r>
              </w:p>
            </w:tc>
          </w:sdtContent>
        </w:sdt>
        <w:tc>
          <w:tcPr>
            <w:tcW w:w="2509" w:type="dxa"/>
          </w:tcPr>
          <w:p w:rsidR="00940152" w:rsidRPr="00940152" w:rsidRDefault="00D83125" w:rsidP="00940152">
            <w:pPr>
              <w:outlineLvl w:val="3"/>
              <w:rPr>
                <w:color w:val="000000" w:themeColor="text1"/>
              </w:rPr>
            </w:pPr>
            <w:r>
              <w:rPr>
                <w:color w:val="000000" w:themeColor="text1"/>
              </w:rPr>
              <w:t>§170.207</w:t>
            </w:r>
            <w:r w:rsidR="00940152" w:rsidRPr="00940152">
              <w:rPr>
                <w:color w:val="000000" w:themeColor="text1"/>
              </w:rPr>
              <w:t xml:space="preserve">(d)(3) </w:t>
            </w:r>
          </w:p>
        </w:tc>
        <w:tc>
          <w:tcPr>
            <w:tcW w:w="5490" w:type="dxa"/>
          </w:tcPr>
          <w:p w:rsidR="00940152" w:rsidRPr="003E40F9" w:rsidRDefault="00940152" w:rsidP="00883948">
            <w:pPr>
              <w:outlineLvl w:val="3"/>
            </w:pPr>
            <w:proofErr w:type="spellStart"/>
            <w:r w:rsidRPr="003E40F9">
              <w:t>RxNorm</w:t>
            </w:r>
            <w:proofErr w:type="spellEnd"/>
            <w:r w:rsidRPr="003E40F9">
              <w:t>, September 8, 2015 Release.</w:t>
            </w:r>
          </w:p>
        </w:tc>
      </w:tr>
      <w:tr w:rsidR="00940152" w:rsidRPr="00E074CB" w:rsidTr="00940152">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940152" w:rsidRDefault="0064116B" w:rsidP="00883948">
                <w:r w:rsidRPr="000558FE">
                  <w:rPr>
                    <w:rFonts w:ascii="MS Gothic" w:eastAsia="MS Gothic" w:hAnsi="MS Gothic" w:hint="eastAsia"/>
                  </w:rPr>
                  <w:t>☐</w:t>
                </w:r>
              </w:p>
            </w:tc>
          </w:sdtContent>
        </w:sdt>
        <w:tc>
          <w:tcPr>
            <w:tcW w:w="2509" w:type="dxa"/>
          </w:tcPr>
          <w:p w:rsidR="00940152" w:rsidRPr="00940152" w:rsidRDefault="00D83125" w:rsidP="00940152">
            <w:pPr>
              <w:outlineLvl w:val="3"/>
              <w:rPr>
                <w:color w:val="000000" w:themeColor="text1"/>
              </w:rPr>
            </w:pPr>
            <w:r>
              <w:rPr>
                <w:color w:val="000000" w:themeColor="text1"/>
              </w:rPr>
              <w:t>§170.207</w:t>
            </w:r>
            <w:r w:rsidR="00940152" w:rsidRPr="00940152">
              <w:rPr>
                <w:color w:val="000000" w:themeColor="text1"/>
              </w:rPr>
              <w:t xml:space="preserve">(e)(3) </w:t>
            </w:r>
          </w:p>
        </w:tc>
        <w:tc>
          <w:tcPr>
            <w:tcW w:w="5490" w:type="dxa"/>
          </w:tcPr>
          <w:p w:rsidR="00940152" w:rsidRPr="003E40F9" w:rsidRDefault="00940152" w:rsidP="00883948">
            <w:pPr>
              <w:outlineLvl w:val="3"/>
            </w:pPr>
            <w:r w:rsidRPr="003E40F9">
              <w:t>HL7 CVX—Vaccines Administered, updates through August 17, 2015.</w:t>
            </w:r>
          </w:p>
        </w:tc>
      </w:tr>
      <w:tr w:rsidR="00D83125" w:rsidRPr="00E074CB" w:rsidTr="00D83125">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D83125" w:rsidRDefault="0064116B" w:rsidP="00883948">
                <w:r w:rsidRPr="000558FE">
                  <w:rPr>
                    <w:rFonts w:ascii="MS Gothic" w:eastAsia="MS Gothic" w:hAnsi="MS Gothic" w:hint="eastAsia"/>
                  </w:rPr>
                  <w:t>☐</w:t>
                </w:r>
              </w:p>
            </w:tc>
          </w:sdtContent>
        </w:sdt>
        <w:tc>
          <w:tcPr>
            <w:tcW w:w="2509" w:type="dxa"/>
          </w:tcPr>
          <w:p w:rsidR="00D83125" w:rsidRPr="003E40F9" w:rsidRDefault="00D83125" w:rsidP="00D83125">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D83125" w:rsidRPr="003E40F9" w:rsidRDefault="00D83125" w:rsidP="00883948">
            <w:pPr>
              <w:outlineLvl w:val="3"/>
            </w:pPr>
            <w:r w:rsidRPr="003E40F9">
              <w:t>National Drug Code Directory—Vaccine Codes, updates through August 17, 2015.</w:t>
            </w:r>
          </w:p>
        </w:tc>
      </w:tr>
      <w:tr w:rsidR="00D83125" w:rsidRPr="00E074CB" w:rsidTr="00D83125">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D83125" w:rsidRDefault="0064116B" w:rsidP="00883948">
                <w:r w:rsidRPr="000558FE">
                  <w:rPr>
                    <w:rFonts w:ascii="MS Gothic" w:eastAsia="MS Gothic" w:hAnsi="MS Gothic" w:hint="eastAsia"/>
                  </w:rPr>
                  <w:t>☐</w:t>
                </w:r>
              </w:p>
            </w:tc>
          </w:sdtContent>
        </w:sdt>
        <w:tc>
          <w:tcPr>
            <w:tcW w:w="2509" w:type="dxa"/>
          </w:tcPr>
          <w:p w:rsidR="00D83125" w:rsidRPr="003E40F9" w:rsidRDefault="00D83125" w:rsidP="00D83125">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D83125" w:rsidRPr="003E40F9" w:rsidRDefault="00D83125" w:rsidP="00883948">
            <w:pPr>
              <w:outlineLvl w:val="3"/>
            </w:pPr>
            <w:r w:rsidRPr="003E40F9">
              <w:t>OMB as revised, October 30, 1997.</w:t>
            </w:r>
          </w:p>
        </w:tc>
      </w:tr>
      <w:tr w:rsidR="00D83125" w:rsidRPr="00E074CB" w:rsidTr="00D83125">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D83125" w:rsidRDefault="0064116B" w:rsidP="00883948">
                <w:r w:rsidRPr="000558FE">
                  <w:rPr>
                    <w:rFonts w:ascii="MS Gothic" w:eastAsia="MS Gothic" w:hAnsi="MS Gothic" w:hint="eastAsia"/>
                  </w:rPr>
                  <w:t>☐</w:t>
                </w:r>
              </w:p>
            </w:tc>
          </w:sdtContent>
        </w:sdt>
        <w:tc>
          <w:tcPr>
            <w:tcW w:w="2509" w:type="dxa"/>
          </w:tcPr>
          <w:p w:rsidR="00D83125" w:rsidRPr="003E40F9" w:rsidRDefault="00D83125" w:rsidP="00D83125">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D83125" w:rsidRPr="003E40F9" w:rsidRDefault="00D83125" w:rsidP="00883948">
            <w:pPr>
              <w:outlineLvl w:val="3"/>
            </w:pPr>
            <w:r w:rsidRPr="003E40F9">
              <w:t>CDC Race and Ethnicity Code Set Version 1.0 (March</w:t>
            </w:r>
            <w:r>
              <w:t xml:space="preserve"> </w:t>
            </w:r>
            <w:r w:rsidRPr="003E40F9">
              <w:t>2000) (incorporated by reference in § 170.299).</w:t>
            </w:r>
          </w:p>
        </w:tc>
      </w:tr>
      <w:tr w:rsidR="0064116B" w:rsidRPr="00E074CB" w:rsidTr="0064116B">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64116B" w:rsidRDefault="0064116B" w:rsidP="00883948">
                <w:r w:rsidRPr="000558FE">
                  <w:rPr>
                    <w:rFonts w:ascii="MS Gothic" w:eastAsia="MS Gothic" w:hAnsi="MS Gothic" w:hint="eastAsia"/>
                  </w:rPr>
                  <w:t>☐</w:t>
                </w:r>
              </w:p>
            </w:tc>
          </w:sdtContent>
        </w:sdt>
        <w:tc>
          <w:tcPr>
            <w:tcW w:w="2509" w:type="dxa"/>
          </w:tcPr>
          <w:p w:rsidR="0064116B" w:rsidRPr="0064116B" w:rsidRDefault="0064116B" w:rsidP="0064116B">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64116B" w:rsidRPr="003E40F9" w:rsidRDefault="0064116B" w:rsidP="00883948">
            <w:pPr>
              <w:outlineLvl w:val="3"/>
            </w:pPr>
            <w:r w:rsidRPr="003E40F9">
              <w:t>Request for Comments (RFC) 5646 (incorporated by reference in § 170.299).</w:t>
            </w:r>
          </w:p>
        </w:tc>
      </w:tr>
      <w:tr w:rsidR="0064116B" w:rsidRPr="00E074CB" w:rsidTr="0064116B">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64116B" w:rsidRDefault="0064116B" w:rsidP="00883948">
                <w:r w:rsidRPr="000558FE">
                  <w:rPr>
                    <w:rFonts w:ascii="MS Gothic" w:eastAsia="MS Gothic" w:hAnsi="MS Gothic" w:hint="eastAsia"/>
                  </w:rPr>
                  <w:t>☐</w:t>
                </w:r>
              </w:p>
            </w:tc>
          </w:sdtContent>
        </w:sdt>
        <w:tc>
          <w:tcPr>
            <w:tcW w:w="2509" w:type="dxa"/>
          </w:tcPr>
          <w:p w:rsidR="0064116B" w:rsidRPr="0064116B" w:rsidRDefault="0064116B" w:rsidP="0064116B">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64116B" w:rsidRPr="003E40F9" w:rsidRDefault="0064116B" w:rsidP="00883948">
            <w:pPr>
              <w:outlineLvl w:val="3"/>
            </w:pPr>
            <w:r w:rsidRPr="003E40F9">
              <w:t>Smoking status constrained codes from SNOMED CT®.</w:t>
            </w:r>
          </w:p>
        </w:tc>
      </w:tr>
      <w:tr w:rsidR="0064116B" w:rsidRPr="00E074CB" w:rsidTr="0064116B">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64116B" w:rsidRDefault="0064116B" w:rsidP="00883948">
                <w:r w:rsidRPr="000558FE">
                  <w:rPr>
                    <w:rFonts w:ascii="MS Gothic" w:eastAsia="MS Gothic" w:hAnsi="MS Gothic" w:hint="eastAsia"/>
                  </w:rPr>
                  <w:t>☐</w:t>
                </w:r>
              </w:p>
            </w:tc>
          </w:sdtContent>
        </w:sdt>
        <w:tc>
          <w:tcPr>
            <w:tcW w:w="2509" w:type="dxa"/>
          </w:tcPr>
          <w:p w:rsidR="0064116B" w:rsidRPr="0064116B" w:rsidRDefault="0064116B" w:rsidP="0064116B">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64116B" w:rsidRPr="003E40F9" w:rsidRDefault="0064116B" w:rsidP="00883948">
            <w:pPr>
              <w:outlineLvl w:val="3"/>
            </w:pPr>
            <w:r w:rsidRPr="003E40F9">
              <w:t>LOINC® version 2.51 (minimum codes: 8480-6, 8462-4, 8302-2, 3141-9, 8867-4, 9279-1, 8310-5, 59408-5, 39156-5, and 8478-0)</w:t>
            </w:r>
          </w:p>
        </w:tc>
      </w:tr>
      <w:tr w:rsidR="0064116B" w:rsidRPr="00E074CB" w:rsidTr="0064116B">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64116B" w:rsidRDefault="0064116B" w:rsidP="00883948">
                <w:r w:rsidRPr="000558FE">
                  <w:rPr>
                    <w:rFonts w:ascii="MS Gothic" w:eastAsia="MS Gothic" w:hAnsi="MS Gothic" w:hint="eastAsia"/>
                  </w:rPr>
                  <w:t>☐</w:t>
                </w:r>
              </w:p>
            </w:tc>
          </w:sdtContent>
        </w:sdt>
        <w:tc>
          <w:tcPr>
            <w:tcW w:w="2509" w:type="dxa"/>
          </w:tcPr>
          <w:p w:rsidR="0064116B" w:rsidRPr="0064116B" w:rsidRDefault="0064116B" w:rsidP="0064116B">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64116B" w:rsidRPr="003E40F9" w:rsidRDefault="0064116B" w:rsidP="00883948">
            <w:pPr>
              <w:outlineLvl w:val="3"/>
            </w:pPr>
            <w:r w:rsidRPr="0064116B">
              <w:t>Numerical references—(1) Standard.</w:t>
            </w:r>
            <w:r w:rsidRPr="003E40F9">
              <w:t xml:space="preserve"> The Unified Code of Units of Measure, Revision 1.9 (incorporated by reference in § 170.299).</w:t>
            </w:r>
          </w:p>
        </w:tc>
      </w:tr>
      <w:tr w:rsidR="0064116B" w:rsidRPr="00A55F60" w:rsidTr="0064116B">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64116B" w:rsidRDefault="0064116B" w:rsidP="00883948">
                <w:r w:rsidRPr="000558FE">
                  <w:rPr>
                    <w:rFonts w:ascii="MS Gothic" w:eastAsia="MS Gothic" w:hAnsi="MS Gothic" w:hint="eastAsia"/>
                  </w:rPr>
                  <w:t>☐</w:t>
                </w:r>
              </w:p>
            </w:tc>
          </w:sdtContent>
        </w:sdt>
        <w:tc>
          <w:tcPr>
            <w:tcW w:w="2509" w:type="dxa"/>
          </w:tcPr>
          <w:p w:rsidR="0064116B" w:rsidRPr="0064116B" w:rsidRDefault="0064116B" w:rsidP="0064116B">
            <w:pPr>
              <w:outlineLvl w:val="3"/>
              <w:rPr>
                <w:color w:val="000000" w:themeColor="text1"/>
              </w:rPr>
            </w:pPr>
            <w:r>
              <w:rPr>
                <w:color w:val="000000" w:themeColor="text1"/>
              </w:rPr>
              <w:t>§170.207</w:t>
            </w:r>
            <w:r w:rsidRPr="0064116B">
              <w:rPr>
                <w:color w:val="000000" w:themeColor="text1"/>
              </w:rPr>
              <w:t xml:space="preserve">(n)(1)   </w:t>
            </w:r>
          </w:p>
          <w:p w:rsidR="0064116B" w:rsidRPr="0064116B" w:rsidRDefault="0064116B" w:rsidP="00883948">
            <w:pPr>
              <w:outlineLvl w:val="3"/>
              <w:rPr>
                <w:color w:val="000000" w:themeColor="text1"/>
              </w:rPr>
            </w:pPr>
          </w:p>
        </w:tc>
        <w:tc>
          <w:tcPr>
            <w:tcW w:w="5490" w:type="dxa"/>
          </w:tcPr>
          <w:p w:rsidR="0064116B" w:rsidRDefault="0064116B" w:rsidP="0064116B">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64116B" w:rsidRDefault="0064116B" w:rsidP="0064116B">
            <w:pPr>
              <w:outlineLvl w:val="3"/>
            </w:pPr>
            <w:r w:rsidRPr="00883948">
              <w:t>(</w:t>
            </w:r>
            <w:proofErr w:type="spellStart"/>
            <w:r w:rsidRPr="00883948">
              <w:t>i</w:t>
            </w:r>
            <w:proofErr w:type="spellEnd"/>
            <w:r w:rsidRPr="00883948">
              <w:t>) Male. M (ii) Female. F</w:t>
            </w:r>
          </w:p>
          <w:p w:rsidR="0064116B" w:rsidRPr="003E40F9" w:rsidRDefault="0064116B" w:rsidP="00883948">
            <w:pPr>
              <w:outlineLvl w:val="3"/>
            </w:pPr>
            <w:r w:rsidRPr="00883948">
              <w:t xml:space="preserve">(iii) Unknown. </w:t>
            </w:r>
            <w:proofErr w:type="spellStart"/>
            <w:r w:rsidRPr="00883948">
              <w:t>nullFlavor</w:t>
            </w:r>
            <w:proofErr w:type="spellEnd"/>
            <w:r w:rsidRPr="00883948">
              <w:t xml:space="preserve"> UNK</w:t>
            </w:r>
          </w:p>
        </w:tc>
      </w:tr>
      <w:tr w:rsidR="00883948" w:rsidRPr="005F4354" w:rsidTr="000C6F74">
        <w:trPr>
          <w:trHeight w:val="432"/>
        </w:trPr>
        <w:tc>
          <w:tcPr>
            <w:tcW w:w="8455" w:type="dxa"/>
            <w:gridSpan w:val="3"/>
            <w:shd w:val="clear" w:color="auto" w:fill="DBE5F1" w:themeFill="accent1" w:themeFillTint="33"/>
          </w:tcPr>
          <w:p w:rsidR="00883948" w:rsidRPr="005F4354" w:rsidRDefault="00883948" w:rsidP="000C6F74">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64116B" w:rsidRPr="00E074CB" w:rsidTr="0064116B">
        <w:trPr>
          <w:trHeight w:val="432"/>
        </w:trPr>
        <w:sdt>
          <w:sdtPr>
            <w:id w:val="-1965577061"/>
            <w14:checkbox>
              <w14:checked w14:val="0"/>
              <w14:checkedState w14:val="2612" w14:font="Arial Unicode MS"/>
              <w14:uncheckedState w14:val="2610" w14:font="Arial Unicode MS"/>
            </w14:checkbox>
          </w:sdtPr>
          <w:sdtEndPr/>
          <w:sdtContent>
            <w:tc>
              <w:tcPr>
                <w:tcW w:w="456" w:type="dxa"/>
              </w:tcPr>
              <w:p w:rsidR="0064116B" w:rsidRDefault="0064116B" w:rsidP="000C6F74">
                <w:r>
                  <w:rPr>
                    <w:rFonts w:ascii="MS Gothic" w:eastAsia="MS Gothic" w:hAnsi="MS Gothic" w:hint="eastAsia"/>
                  </w:rPr>
                  <w:t>☐</w:t>
                </w:r>
              </w:p>
            </w:tc>
          </w:sdtContent>
        </w:sdt>
        <w:tc>
          <w:tcPr>
            <w:tcW w:w="2509" w:type="dxa"/>
          </w:tcPr>
          <w:p w:rsidR="0064116B" w:rsidRPr="00A272C2" w:rsidRDefault="0064116B" w:rsidP="0064116B">
            <w:pPr>
              <w:outlineLvl w:val="3"/>
              <w:rPr>
                <w:color w:val="000000" w:themeColor="text1"/>
              </w:rPr>
            </w:pPr>
            <w:r>
              <w:rPr>
                <w:color w:val="000000" w:themeColor="text1"/>
              </w:rPr>
              <w:t>§170.</w:t>
            </w:r>
            <w:r w:rsidRPr="0064116B">
              <w:rPr>
                <w:color w:val="000000" w:themeColor="text1"/>
              </w:rPr>
              <w:t xml:space="preserve">210(g)   </w:t>
            </w:r>
          </w:p>
        </w:tc>
        <w:tc>
          <w:tcPr>
            <w:tcW w:w="5490" w:type="dxa"/>
          </w:tcPr>
          <w:p w:rsidR="0064116B" w:rsidRPr="00E074CB" w:rsidRDefault="0064116B" w:rsidP="000C6F74">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B0206F" w:rsidRDefault="00B0206F" w:rsidP="00FD7F7E"/>
    <w:p w:rsidR="00DD40F3" w:rsidRDefault="00DD40F3" w:rsidP="00FD7F7E"/>
    <w:p w:rsidR="00C62AF6" w:rsidRDefault="00C62AF6">
      <w:r>
        <w:br w:type="page"/>
      </w:r>
    </w:p>
    <w:p w:rsidR="009A1DB9" w:rsidRDefault="00E043E4" w:rsidP="009A1DB9">
      <w:pPr>
        <w:pStyle w:val="Heading1"/>
      </w:pPr>
      <w:bookmarkStart w:id="5" w:name="_170.315(i)_Common_Clinical"/>
      <w:bookmarkEnd w:id="5"/>
      <w:r>
        <w:lastRenderedPageBreak/>
        <w:t>170.315(</w:t>
      </w:r>
      <w:proofErr w:type="spellStart"/>
      <w:r w:rsidR="009A1DB9">
        <w:t>i</w:t>
      </w:r>
      <w:proofErr w:type="spellEnd"/>
      <w:r w:rsidR="009A1DB9">
        <w:t>)</w:t>
      </w:r>
      <w:r w:rsidR="009A1DB9" w:rsidRPr="00704B8A">
        <w:t xml:space="preserve"> </w:t>
      </w:r>
      <w:r>
        <w:t>Common Clinical Data Set Summary Record - Create</w:t>
      </w:r>
    </w:p>
    <w:p w:rsidR="009A1DB9" w:rsidRPr="00255DC9" w:rsidRDefault="009A1DB9" w:rsidP="009A1DB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9A1DB9" w:rsidTr="00B92759">
        <w:trPr>
          <w:trHeight w:val="432"/>
        </w:trPr>
        <w:tc>
          <w:tcPr>
            <w:tcW w:w="2520" w:type="dxa"/>
            <w:shd w:val="clear" w:color="auto" w:fill="DBE5F1" w:themeFill="accent1" w:themeFillTint="33"/>
          </w:tcPr>
          <w:p w:rsidR="009A1DB9" w:rsidRPr="00255DC9" w:rsidRDefault="009A1DB9" w:rsidP="00B92759">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9A1DB9" w:rsidRPr="00255DC9" w:rsidRDefault="009A1DB9" w:rsidP="00B92759">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80306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240962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93719739"/>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A1DB9" w:rsidTr="00B92759">
        <w:trPr>
          <w:trHeight w:val="432"/>
        </w:trPr>
        <w:tc>
          <w:tcPr>
            <w:tcW w:w="8730" w:type="dxa"/>
            <w:gridSpan w:val="2"/>
            <w:shd w:val="clear" w:color="auto" w:fill="DBE5F1" w:themeFill="accent1" w:themeFillTint="33"/>
          </w:tcPr>
          <w:p w:rsidR="009A1DB9" w:rsidRPr="00D052DB" w:rsidRDefault="009A1DB9" w:rsidP="00B92759">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E043E4">
              <w:t xml:space="preserve"> Health</w:t>
            </w:r>
            <w:r w:rsidR="006E0B71">
              <w:t xml:space="preserve"> IT developer</w:t>
            </w:r>
            <w:r w:rsidRPr="000738B7">
              <w:t xml:space="preserve"> generates the required C-CDA R2.1 documents based on the setting being tested for certification.</w:t>
            </w:r>
          </w:p>
        </w:tc>
      </w:tr>
      <w:tr w:rsidR="009A1DB9" w:rsidTr="00B92759">
        <w:trPr>
          <w:trHeight w:val="432"/>
        </w:trPr>
        <w:tc>
          <w:tcPr>
            <w:tcW w:w="8730" w:type="dxa"/>
            <w:gridSpan w:val="2"/>
            <w:shd w:val="clear" w:color="auto" w:fill="DBE5F1" w:themeFill="accent1" w:themeFillTint="33"/>
          </w:tcPr>
          <w:p w:rsidR="009A1DB9" w:rsidRDefault="009A1DB9" w:rsidP="00B92759">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E043E4" w:rsidRDefault="00E043E4" w:rsidP="00E043E4">
            <w:pPr>
              <w:numPr>
                <w:ilvl w:val="0"/>
                <w:numId w:val="27"/>
              </w:numPr>
            </w:pPr>
            <w:r w:rsidRPr="00E043E4">
              <w:t xml:space="preserve">Enable a user to create a transition of care/referral summary formatted in accordance with the standards specified in § 170.205(a)(4) using the Continuity of Care Document, Referral Note, and (for inpatient setting only) Discharge Summary document templates that includes at a minimum: </w:t>
            </w:r>
          </w:p>
          <w:p w:rsidR="00E043E4" w:rsidRDefault="00E043E4" w:rsidP="00E043E4">
            <w:pPr>
              <w:pStyle w:val="ListParagraph"/>
              <w:numPr>
                <w:ilvl w:val="0"/>
                <w:numId w:val="34"/>
              </w:numPr>
              <w:ind w:left="1242" w:hanging="360"/>
            </w:pPr>
            <w:r w:rsidRPr="00E043E4">
              <w:rPr>
                <w:b/>
              </w:rPr>
              <w:t>The Common Clinical Data Set</w:t>
            </w:r>
            <w:r w:rsidR="000E3350">
              <w:rPr>
                <w:b/>
              </w:rPr>
              <w:t>;</w:t>
            </w:r>
            <w:r w:rsidRPr="00E043E4">
              <w:t xml:space="preserve">  </w:t>
            </w:r>
          </w:p>
          <w:p w:rsidR="00E043E4" w:rsidRDefault="00E043E4" w:rsidP="00E043E4">
            <w:pPr>
              <w:pStyle w:val="ListParagraph"/>
              <w:numPr>
                <w:ilvl w:val="0"/>
                <w:numId w:val="34"/>
              </w:numPr>
              <w:ind w:left="1242" w:hanging="360"/>
            </w:pPr>
            <w:r w:rsidRPr="00E043E4">
              <w:rPr>
                <w:b/>
              </w:rPr>
              <w:t>Encounter diagnoses</w:t>
            </w:r>
            <w:r w:rsidRPr="00E043E4">
              <w:t xml:space="preserve">. Formatted according to at least one of the following standards: </w:t>
            </w:r>
            <w:r>
              <w:t>the standard specified in §</w:t>
            </w:r>
            <w:r w:rsidRPr="00E043E4">
              <w:t>170.207(</w:t>
            </w:r>
            <w:proofErr w:type="spellStart"/>
            <w:r w:rsidRPr="00E043E4">
              <w:t>i</w:t>
            </w:r>
            <w:proofErr w:type="spellEnd"/>
            <w:r w:rsidRPr="00E043E4">
              <w:t>) or at a minimum, the version of the standard specified in § 170.207(a)(4)</w:t>
            </w:r>
            <w:r w:rsidR="000E3350">
              <w:t>;</w:t>
            </w:r>
            <w:r w:rsidRPr="00E043E4">
              <w:t xml:space="preserve"> </w:t>
            </w:r>
          </w:p>
          <w:p w:rsidR="00E043E4" w:rsidRPr="00E043E4" w:rsidRDefault="00E043E4" w:rsidP="00E043E4">
            <w:pPr>
              <w:pStyle w:val="ListParagraph"/>
              <w:numPr>
                <w:ilvl w:val="0"/>
                <w:numId w:val="34"/>
              </w:numPr>
              <w:ind w:left="1242" w:hanging="360"/>
              <w:rPr>
                <w:b/>
              </w:rPr>
            </w:pPr>
            <w:r w:rsidRPr="00E043E4">
              <w:rPr>
                <w:b/>
              </w:rPr>
              <w:t>Cognitive status</w:t>
            </w:r>
            <w:r w:rsidR="000E3350">
              <w:rPr>
                <w:b/>
              </w:rPr>
              <w:t>;</w:t>
            </w:r>
            <w:r w:rsidRPr="00E043E4">
              <w:rPr>
                <w:b/>
              </w:rPr>
              <w:t xml:space="preserve">  </w:t>
            </w:r>
          </w:p>
          <w:p w:rsidR="00E043E4" w:rsidRDefault="00E043E4" w:rsidP="00E043E4">
            <w:pPr>
              <w:pStyle w:val="ListParagraph"/>
              <w:numPr>
                <w:ilvl w:val="0"/>
                <w:numId w:val="34"/>
              </w:numPr>
              <w:ind w:left="1242" w:hanging="360"/>
            </w:pPr>
            <w:r w:rsidRPr="00E043E4">
              <w:rPr>
                <w:b/>
              </w:rPr>
              <w:t>Functional status</w:t>
            </w:r>
            <w:r w:rsidR="000E3350">
              <w:rPr>
                <w:b/>
              </w:rPr>
              <w:t>;</w:t>
            </w:r>
            <w:r w:rsidRPr="00E043E4">
              <w:t xml:space="preserve"> </w:t>
            </w:r>
          </w:p>
          <w:p w:rsidR="00E043E4" w:rsidRDefault="00E043E4" w:rsidP="00E043E4">
            <w:pPr>
              <w:pStyle w:val="ListParagraph"/>
              <w:numPr>
                <w:ilvl w:val="0"/>
                <w:numId w:val="34"/>
              </w:numPr>
              <w:ind w:left="1242" w:hanging="360"/>
            </w:pPr>
            <w:r w:rsidRPr="00E043E4">
              <w:rPr>
                <w:b/>
              </w:rPr>
              <w:t>Ambulatory setting only</w:t>
            </w:r>
            <w:r w:rsidRPr="00E043E4">
              <w:t>. The reason for referral; and referring or transitioning provider's name and office contact information</w:t>
            </w:r>
          </w:p>
          <w:p w:rsidR="00E043E4" w:rsidRDefault="00E043E4" w:rsidP="00E043E4">
            <w:pPr>
              <w:pStyle w:val="ListParagraph"/>
              <w:numPr>
                <w:ilvl w:val="0"/>
                <w:numId w:val="34"/>
              </w:numPr>
              <w:ind w:left="1242" w:hanging="360"/>
            </w:pPr>
            <w:r w:rsidRPr="00E043E4">
              <w:rPr>
                <w:b/>
              </w:rPr>
              <w:t>Inpatient setting only</w:t>
            </w:r>
            <w:r>
              <w:t>. Discharge instructions</w:t>
            </w:r>
            <w:r w:rsidR="000E3350">
              <w:t xml:space="preserve">; and </w:t>
            </w:r>
            <w:r>
              <w:t xml:space="preserve"> </w:t>
            </w:r>
          </w:p>
          <w:p w:rsidR="00E043E4" w:rsidRDefault="00E043E4" w:rsidP="00E043E4">
            <w:pPr>
              <w:pStyle w:val="ListParagraph"/>
              <w:numPr>
                <w:ilvl w:val="0"/>
                <w:numId w:val="34"/>
              </w:numPr>
              <w:ind w:left="1242" w:hanging="360"/>
            </w:pPr>
            <w:r w:rsidRPr="00E043E4">
              <w:rPr>
                <w:b/>
              </w:rPr>
              <w:t>Patient matching data</w:t>
            </w:r>
            <w:r w:rsidRPr="00E043E4">
              <w:t xml:space="preserve">. First name, last name, previous name, middle name (including middle initial), suffix, date of birth, address, phone number, and sex. The following constraints apply: </w:t>
            </w:r>
          </w:p>
          <w:p w:rsidR="00E043E4" w:rsidRDefault="00E043E4" w:rsidP="00E043E4">
            <w:pPr>
              <w:pStyle w:val="ListParagraph"/>
              <w:ind w:left="1872"/>
            </w:pPr>
            <w:r w:rsidRPr="00E043E4">
              <w:t xml:space="preserve">(A) Date of birth constraint— </w:t>
            </w:r>
          </w:p>
          <w:p w:rsidR="00E043E4" w:rsidRDefault="00E043E4" w:rsidP="00E043E4">
            <w:pPr>
              <w:pStyle w:val="ListParagraph"/>
              <w:numPr>
                <w:ilvl w:val="1"/>
                <w:numId w:val="36"/>
              </w:numPr>
              <w:ind w:left="2862" w:hanging="270"/>
            </w:pPr>
            <w:r w:rsidRPr="00E043E4">
              <w:t xml:space="preserve">The year, month and date of birth must be present for a date of birth. The technology must include a null value when the date of birth is unknown. </w:t>
            </w:r>
          </w:p>
          <w:p w:rsidR="00E043E4" w:rsidRDefault="00E043E4" w:rsidP="00E043E4">
            <w:pPr>
              <w:pStyle w:val="ListParagraph"/>
              <w:numPr>
                <w:ilvl w:val="1"/>
                <w:numId w:val="36"/>
              </w:numPr>
              <w:ind w:left="2862" w:hanging="270"/>
            </w:pPr>
            <w:r w:rsidRPr="00E043E4">
              <w:t xml:space="preserve">Optional. When the hour, minute and second are associated with a date of birth the technology must demonstrate that the correct time zone offset is included. </w:t>
            </w:r>
          </w:p>
          <w:p w:rsidR="00E043E4" w:rsidRDefault="00E043E4" w:rsidP="00E043E4">
            <w:pPr>
              <w:pStyle w:val="ListParagraph"/>
              <w:ind w:left="1872"/>
            </w:pPr>
            <w:r w:rsidRPr="00E043E4">
              <w:t>(B) Phone number constraint. Represent phone number (home, business, cell) in accordance with the standards adopted in § 170.207(q</w:t>
            </w:r>
            <w:proofErr w:type="gramStart"/>
            <w:r w:rsidRPr="00E043E4">
              <w:t>)(</w:t>
            </w:r>
            <w:proofErr w:type="gramEnd"/>
            <w:r w:rsidRPr="00E043E4">
              <w:t xml:space="preserve">1). All phone numbers must be included when multiple phone numbers are present. </w:t>
            </w:r>
          </w:p>
          <w:p w:rsidR="00E043E4" w:rsidRDefault="00E043E4" w:rsidP="00E043E4">
            <w:pPr>
              <w:pStyle w:val="ListParagraph"/>
              <w:ind w:left="1872"/>
            </w:pPr>
            <w:r w:rsidRPr="00E043E4">
              <w:t>(C) Sex constraint. Represent sex in accordance with the standard adopted in § 170.207(n</w:t>
            </w:r>
            <w:proofErr w:type="gramStart"/>
            <w:r w:rsidRPr="00E043E4">
              <w:t>)(</w:t>
            </w:r>
            <w:proofErr w:type="gramEnd"/>
            <w:r w:rsidRPr="00E043E4">
              <w:t>1).</w:t>
            </w:r>
          </w:p>
          <w:p w:rsidR="009A1DB9" w:rsidRDefault="00E043E4" w:rsidP="00B92759">
            <w:pPr>
              <w:numPr>
                <w:ilvl w:val="0"/>
                <w:numId w:val="27"/>
              </w:numPr>
            </w:pPr>
            <w:r>
              <w:t>User</w:t>
            </w:r>
            <w:r w:rsidR="009A1DB9">
              <w:t xml:space="preserve"> c</w:t>
            </w:r>
            <w:r w:rsidR="009A1DB9" w:rsidRPr="00EF4DF3">
              <w:t>reate</w:t>
            </w:r>
            <w:r w:rsidR="009A1DB9">
              <w:t xml:space="preserve">s documents </w:t>
            </w:r>
            <w:r w:rsidR="009A1DB9" w:rsidRPr="00EF4DF3">
              <w:t xml:space="preserve">formatted in accordance with the </w:t>
            </w:r>
            <w:r w:rsidR="009A1DB9">
              <w:t xml:space="preserve">C-CDA R2.1 </w:t>
            </w:r>
            <w:r w:rsidR="00E2421E">
              <w:t>standard.</w:t>
            </w:r>
          </w:p>
          <w:p w:rsidR="009A1DB9" w:rsidRDefault="009A1DB9" w:rsidP="00B92759">
            <w:pPr>
              <w:numPr>
                <w:ilvl w:val="0"/>
                <w:numId w:val="27"/>
              </w:numPr>
            </w:pPr>
            <w:r>
              <w:t>Each required C-CDA document passes the ETT validation and the Test Proctor’s visual inspection for C-CDA R2.1 template, vocabulary, and section narrative text conformance.</w:t>
            </w:r>
          </w:p>
          <w:p w:rsidR="00E043E4" w:rsidRDefault="00E043E4" w:rsidP="00E043E4">
            <w:pPr>
              <w:numPr>
                <w:ilvl w:val="0"/>
                <w:numId w:val="27"/>
              </w:numPr>
            </w:pPr>
            <w:r>
              <w:lastRenderedPageBreak/>
              <w:t>All required CCDS information is populated and valid.</w:t>
            </w:r>
          </w:p>
          <w:p w:rsidR="00E043E4" w:rsidRPr="00D052DB" w:rsidRDefault="00E043E4" w:rsidP="00084885">
            <w:pPr>
              <w:numPr>
                <w:ilvl w:val="0"/>
                <w:numId w:val="27"/>
              </w:numPr>
            </w:pPr>
            <w:r>
              <w:t>V</w:t>
            </w:r>
            <w:r w:rsidR="00084885">
              <w:t>isual inspection of</w:t>
            </w:r>
            <w:r>
              <w:t xml:space="preserve"> </w:t>
            </w:r>
            <w:r w:rsidR="00084885">
              <w:t>C-CDA R2.1 template, vocabulary, and section narrative text conformance.</w:t>
            </w:r>
          </w:p>
        </w:tc>
      </w:tr>
      <w:tr w:rsidR="009A1DB9" w:rsidTr="00B92759">
        <w:trPr>
          <w:trHeight w:val="432"/>
        </w:trPr>
        <w:tc>
          <w:tcPr>
            <w:tcW w:w="8730" w:type="dxa"/>
            <w:gridSpan w:val="2"/>
            <w:shd w:val="clear" w:color="auto" w:fill="DBE5F1" w:themeFill="accent1" w:themeFillTint="33"/>
          </w:tcPr>
          <w:p w:rsidR="009A1DB9" w:rsidRDefault="009A1DB9" w:rsidP="00B92759">
            <w:pPr>
              <w:rPr>
                <w:rFonts w:ascii="Leelawadee UI" w:hAnsi="Leelawadee UI" w:cs="Leelawadee UI"/>
                <w:b/>
              </w:rPr>
            </w:pPr>
            <w:r w:rsidRPr="00EF4DF3">
              <w:rPr>
                <w:rFonts w:ascii="Leelawadee UI" w:hAnsi="Leelawadee UI" w:cs="Leelawadee UI"/>
                <w:b/>
              </w:rPr>
              <w:lastRenderedPageBreak/>
              <w:t>Points to Remember:</w:t>
            </w:r>
          </w:p>
          <w:p w:rsidR="009A1DB9" w:rsidRPr="00D052DB" w:rsidRDefault="00B028D6" w:rsidP="00B028D6">
            <w:pPr>
              <w:numPr>
                <w:ilvl w:val="0"/>
                <w:numId w:val="30"/>
              </w:numPr>
            </w:pPr>
            <w:r w:rsidRPr="00B028D6">
              <w:t>The submission of a CCDS summary record document is required for all of the CCDS summary record instruction documents for a given health IT setting</w:t>
            </w:r>
            <w:r>
              <w:t>.</w:t>
            </w:r>
          </w:p>
        </w:tc>
      </w:tr>
    </w:tbl>
    <w:p w:rsidR="009A1DB9" w:rsidRDefault="009A1DB9" w:rsidP="009A1DB9"/>
    <w:p w:rsidR="009A1DB9" w:rsidRDefault="009A1DB9" w:rsidP="009A1DB9"/>
    <w:p w:rsidR="00E043E4" w:rsidRDefault="00E043E4">
      <w:pPr>
        <w:rPr>
          <w:rFonts w:ascii="Arial" w:hAnsi="Arial" w:cs="Arial"/>
          <w:b/>
          <w:bCs/>
          <w:sz w:val="26"/>
          <w:szCs w:val="26"/>
          <w:u w:val="single"/>
        </w:rPr>
      </w:pPr>
      <w:r>
        <w:rPr>
          <w:u w:val="single"/>
        </w:rPr>
        <w:br w:type="page"/>
      </w:r>
    </w:p>
    <w:p w:rsidR="009A1DB9" w:rsidRDefault="009A1DB9" w:rsidP="009A1DB9">
      <w:pPr>
        <w:pStyle w:val="Heading3"/>
        <w:rPr>
          <w:u w:val="single"/>
        </w:rPr>
      </w:pPr>
      <w:bookmarkStart w:id="6" w:name="_Test_Procedures"/>
      <w:bookmarkEnd w:id="6"/>
      <w:r w:rsidRPr="00E51A47">
        <w:rPr>
          <w:u w:val="single"/>
        </w:rPr>
        <w:lastRenderedPageBreak/>
        <w:t>Test Procedures</w:t>
      </w:r>
    </w:p>
    <w:p w:rsidR="009A1DB9" w:rsidRDefault="009A1DB9" w:rsidP="009A1DB9"/>
    <w:p w:rsidR="00FE59CA" w:rsidRDefault="00FE59CA" w:rsidP="003D1AF6">
      <w:pPr>
        <w:pStyle w:val="ListParagraph"/>
        <w:numPr>
          <w:ilvl w:val="1"/>
          <w:numId w:val="37"/>
        </w:numPr>
        <w:rPr>
          <w:b/>
        </w:rPr>
      </w:pPr>
      <w:r w:rsidRPr="0098250B">
        <w:rPr>
          <w:b/>
        </w:rPr>
        <w:t>CCDS Summary Record – Create</w:t>
      </w:r>
    </w:p>
    <w:p w:rsidR="0098250B" w:rsidRPr="0098250B" w:rsidRDefault="0098250B" w:rsidP="0098250B">
      <w:pPr>
        <w:rPr>
          <w:b/>
        </w:rPr>
      </w:pPr>
    </w:p>
    <w:tbl>
      <w:tblPr>
        <w:tblStyle w:val="TableGrid"/>
        <w:tblW w:w="0" w:type="auto"/>
        <w:tblLook w:val="04A0" w:firstRow="1" w:lastRow="0" w:firstColumn="1" w:lastColumn="0" w:noHBand="0" w:noVBand="1"/>
      </w:tblPr>
      <w:tblGrid>
        <w:gridCol w:w="828"/>
        <w:gridCol w:w="7668"/>
      </w:tblGrid>
      <w:tr w:rsidR="009A1DB9" w:rsidTr="004F482B">
        <w:sdt>
          <w:sdtPr>
            <w:id w:val="1366638493"/>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9A1DB9" w:rsidRDefault="009A1DB9" w:rsidP="00B92759">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FE59CA" w:rsidRPr="00C15A82" w:rsidRDefault="00FE59CA" w:rsidP="00FE59CA">
            <w:pPr>
              <w:spacing w:line="360" w:lineRule="auto"/>
            </w:pPr>
            <w:r>
              <w:t>Health IT developer identifies patient records containing pre-loaded test data based on “</w:t>
            </w:r>
            <w:r w:rsidRPr="00FE59CA">
              <w:rPr>
                <w:b/>
              </w:rPr>
              <w:t>170.315_b4_ccds_create*sample*.pdf</w:t>
            </w:r>
            <w:r>
              <w:t>” files.</w:t>
            </w:r>
          </w:p>
        </w:tc>
      </w:tr>
      <w:tr w:rsidR="00B028D6" w:rsidTr="004F482B">
        <w:sdt>
          <w:sdtPr>
            <w:id w:val="2049868054"/>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B028D6" w:rsidRDefault="00B028D6" w:rsidP="00B92759">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028D6" w:rsidRDefault="00B028D6" w:rsidP="00FE59CA">
            <w:pPr>
              <w:spacing w:line="360" w:lineRule="auto"/>
            </w:pPr>
            <w:r>
              <w:t>Proctor verifies CCDS Summary Record information recorded is accurate and without omission.</w:t>
            </w:r>
          </w:p>
        </w:tc>
      </w:tr>
    </w:tbl>
    <w:p w:rsidR="009A1DB9" w:rsidRDefault="009A1DB9" w:rsidP="009A1DB9">
      <w:pPr>
        <w:spacing w:line="360" w:lineRule="auto"/>
        <w:ind w:left="360"/>
        <w:rPr>
          <w:u w:val="single"/>
        </w:rPr>
      </w:pPr>
    </w:p>
    <w:p w:rsidR="009A1DB9" w:rsidRDefault="009A1DB9" w:rsidP="009A1DB9">
      <w:pPr>
        <w:spacing w:line="360" w:lineRule="auto"/>
        <w:rPr>
          <w:color w:val="A6A6A6" w:themeColor="background1" w:themeShade="A6"/>
        </w:rPr>
      </w:pPr>
      <w:r>
        <w:rPr>
          <w:color w:val="A6A6A6" w:themeColor="background1" w:themeShade="A6"/>
        </w:rPr>
        <w:t>&lt;</w:t>
      </w:r>
      <w:r w:rsidR="004F482B">
        <w:rPr>
          <w:color w:val="A6A6A6" w:themeColor="background1" w:themeShade="A6"/>
        </w:rPr>
        <w:t>INSERT SCREEN SHOT</w:t>
      </w:r>
      <w:r w:rsidR="00FE59CA">
        <w:rPr>
          <w:color w:val="A6A6A6" w:themeColor="background1" w:themeShade="A6"/>
        </w:rPr>
        <w:t>S</w:t>
      </w:r>
      <w:r w:rsidR="004F482B">
        <w:rPr>
          <w:color w:val="A6A6A6" w:themeColor="background1" w:themeShade="A6"/>
        </w:rPr>
        <w:t xml:space="preserve"> - Patient records</w:t>
      </w:r>
      <w:r w:rsidRPr="003D768F">
        <w:rPr>
          <w:color w:val="A6A6A6" w:themeColor="background1" w:themeShade="A6"/>
        </w:rPr>
        <w:t>&gt;</w:t>
      </w:r>
    </w:p>
    <w:p w:rsidR="004F482B" w:rsidRPr="006A16E9" w:rsidRDefault="004F482B" w:rsidP="004F482B"/>
    <w:tbl>
      <w:tblPr>
        <w:tblStyle w:val="TableGrid"/>
        <w:tblW w:w="0" w:type="auto"/>
        <w:tblLook w:val="04A0" w:firstRow="1" w:lastRow="0" w:firstColumn="1" w:lastColumn="0" w:noHBand="0" w:noVBand="1"/>
      </w:tblPr>
      <w:tblGrid>
        <w:gridCol w:w="828"/>
        <w:gridCol w:w="7668"/>
      </w:tblGrid>
      <w:tr w:rsidR="004F482B" w:rsidTr="004F482B">
        <w:sdt>
          <w:sdtPr>
            <w:id w:val="-192571878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F482B" w:rsidRDefault="004F482B" w:rsidP="00B92759">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4F482B" w:rsidRDefault="00E27C62" w:rsidP="004F482B">
            <w:pPr>
              <w:spacing w:line="360" w:lineRule="auto"/>
            </w:pPr>
            <w:r>
              <w:t>User</w:t>
            </w:r>
            <w:r w:rsidR="004F482B">
              <w:t xml:space="preserve"> generate</w:t>
            </w:r>
            <w:r>
              <w:t>s</w:t>
            </w:r>
            <w:r w:rsidR="004F482B">
              <w:t xml:space="preserve"> the required CCDA document templates </w:t>
            </w:r>
            <w:r>
              <w:t xml:space="preserve">using HIT module functionality </w:t>
            </w:r>
            <w:r w:rsidR="004F482B">
              <w:t>for each sample test case for the appropriate health care setting:</w:t>
            </w:r>
          </w:p>
          <w:p w:rsidR="004F482B" w:rsidRPr="00522A9A" w:rsidRDefault="004F482B" w:rsidP="00E27C62">
            <w:pPr>
              <w:pStyle w:val="ListParagraph"/>
              <w:numPr>
                <w:ilvl w:val="0"/>
                <w:numId w:val="38"/>
              </w:numPr>
              <w:spacing w:line="360" w:lineRule="auto"/>
              <w:rPr>
                <w:b/>
              </w:rPr>
            </w:pPr>
            <w:r w:rsidRPr="00522A9A">
              <w:rPr>
                <w:b/>
              </w:rPr>
              <w:t>Continuity of Care Document</w:t>
            </w:r>
            <w:r w:rsidR="00C97439">
              <w:rPr>
                <w:b/>
              </w:rPr>
              <w:t>;</w:t>
            </w:r>
            <w:r w:rsidRPr="00522A9A">
              <w:rPr>
                <w:b/>
              </w:rPr>
              <w:t xml:space="preserve"> </w:t>
            </w:r>
          </w:p>
          <w:p w:rsidR="004F482B" w:rsidRPr="00522A9A" w:rsidRDefault="00C97439" w:rsidP="00E27C62">
            <w:pPr>
              <w:pStyle w:val="ListParagraph"/>
              <w:numPr>
                <w:ilvl w:val="0"/>
                <w:numId w:val="38"/>
              </w:numPr>
              <w:spacing w:line="360" w:lineRule="auto"/>
              <w:rPr>
                <w:b/>
              </w:rPr>
            </w:pPr>
            <w:r>
              <w:rPr>
                <w:b/>
              </w:rPr>
              <w:t xml:space="preserve">C-CDA R2 R2.1 </w:t>
            </w:r>
            <w:r w:rsidR="004F482B" w:rsidRPr="00522A9A">
              <w:rPr>
                <w:b/>
              </w:rPr>
              <w:t xml:space="preserve">Referral Note </w:t>
            </w:r>
            <w:r>
              <w:rPr>
                <w:b/>
              </w:rPr>
              <w:t>Document; and</w:t>
            </w:r>
          </w:p>
          <w:p w:rsidR="004F482B" w:rsidRPr="00C15A82" w:rsidRDefault="00522A9A" w:rsidP="00522A9A">
            <w:pPr>
              <w:pStyle w:val="ListParagraph"/>
              <w:numPr>
                <w:ilvl w:val="0"/>
                <w:numId w:val="38"/>
              </w:numPr>
              <w:spacing w:line="360" w:lineRule="auto"/>
            </w:pPr>
            <w:r w:rsidRPr="00522A9A">
              <w:rPr>
                <w:i/>
              </w:rPr>
              <w:t>Inpatient setting only:</w:t>
            </w:r>
            <w:r w:rsidR="00C97439">
              <w:rPr>
                <w:i/>
              </w:rPr>
              <w:t xml:space="preserve"> </w:t>
            </w:r>
            <w:r>
              <w:t xml:space="preserve"> </w:t>
            </w:r>
            <w:r w:rsidR="00C97439" w:rsidRPr="00C97439">
              <w:rPr>
                <w:b/>
              </w:rPr>
              <w:t>C-CDA R2 R2.1</w:t>
            </w:r>
            <w:r w:rsidR="00C97439">
              <w:t xml:space="preserve"> </w:t>
            </w:r>
            <w:r w:rsidR="004F482B" w:rsidRPr="00522A9A">
              <w:rPr>
                <w:b/>
              </w:rPr>
              <w:t>Discharge Summary</w:t>
            </w:r>
            <w:r w:rsidR="004F482B">
              <w:t xml:space="preserve"> </w:t>
            </w:r>
          </w:p>
        </w:tc>
      </w:tr>
    </w:tbl>
    <w:p w:rsidR="004F482B" w:rsidRDefault="004F482B" w:rsidP="004F482B">
      <w:pPr>
        <w:spacing w:line="360" w:lineRule="auto"/>
        <w:ind w:left="360"/>
        <w:rPr>
          <w:u w:val="single"/>
        </w:rPr>
      </w:pPr>
    </w:p>
    <w:p w:rsidR="004F482B" w:rsidRDefault="00E27C62" w:rsidP="004F482B">
      <w:pPr>
        <w:spacing w:line="360" w:lineRule="auto"/>
        <w:rPr>
          <w:color w:val="A6A6A6" w:themeColor="background1" w:themeShade="A6"/>
        </w:rPr>
      </w:pPr>
      <w:r>
        <w:rPr>
          <w:color w:val="A6A6A6" w:themeColor="background1" w:themeShade="A6"/>
        </w:rPr>
        <w:t>&lt;INSERT SCREEN SHOT – Continuity of Care Generated</w:t>
      </w:r>
      <w:r w:rsidR="004F482B" w:rsidRPr="003D768F">
        <w:rPr>
          <w:color w:val="A6A6A6" w:themeColor="background1" w:themeShade="A6"/>
        </w:rPr>
        <w:t>&gt;</w:t>
      </w:r>
    </w:p>
    <w:p w:rsidR="00E27C62" w:rsidRDefault="00E27C62" w:rsidP="00E27C62">
      <w:pPr>
        <w:spacing w:line="360" w:lineRule="auto"/>
        <w:rPr>
          <w:color w:val="A6A6A6" w:themeColor="background1" w:themeShade="A6"/>
        </w:rPr>
      </w:pPr>
      <w:r>
        <w:rPr>
          <w:color w:val="A6A6A6" w:themeColor="background1" w:themeShade="A6"/>
        </w:rPr>
        <w:t>&lt;INSERT SCREEN SHOT – Referral Note Generated</w:t>
      </w:r>
      <w:r w:rsidRPr="003D768F">
        <w:rPr>
          <w:color w:val="A6A6A6" w:themeColor="background1" w:themeShade="A6"/>
        </w:rPr>
        <w:t>&gt;</w:t>
      </w:r>
    </w:p>
    <w:p w:rsidR="00E27C62" w:rsidRDefault="00E27C62" w:rsidP="00E27C62">
      <w:pPr>
        <w:spacing w:line="360" w:lineRule="auto"/>
        <w:rPr>
          <w:color w:val="A6A6A6" w:themeColor="background1" w:themeShade="A6"/>
        </w:rPr>
      </w:pPr>
      <w:r>
        <w:rPr>
          <w:color w:val="A6A6A6" w:themeColor="background1" w:themeShade="A6"/>
        </w:rPr>
        <w:t>&lt;INSERT SCREEN SHOT – Discharge Summary Generated – Inpatient Only</w:t>
      </w:r>
      <w:r w:rsidRPr="003D768F">
        <w:rPr>
          <w:color w:val="A6A6A6" w:themeColor="background1" w:themeShade="A6"/>
        </w:rPr>
        <w:t>&gt;</w:t>
      </w:r>
    </w:p>
    <w:p w:rsidR="009A1DB9" w:rsidRDefault="009A1DB9">
      <w:pPr>
        <w:rPr>
          <w:rFonts w:ascii="Arial" w:hAnsi="Arial" w:cs="Arial"/>
          <w:b/>
          <w:bCs/>
          <w:kern w:val="32"/>
          <w:sz w:val="32"/>
          <w:szCs w:val="32"/>
        </w:rPr>
      </w:pPr>
    </w:p>
    <w:tbl>
      <w:tblPr>
        <w:tblStyle w:val="TableGrid"/>
        <w:tblW w:w="0" w:type="auto"/>
        <w:tblLook w:val="04A0" w:firstRow="1" w:lastRow="0" w:firstColumn="1" w:lastColumn="0" w:noHBand="0" w:noVBand="1"/>
      </w:tblPr>
      <w:tblGrid>
        <w:gridCol w:w="828"/>
        <w:gridCol w:w="7668"/>
      </w:tblGrid>
      <w:tr w:rsidR="004F482B" w:rsidTr="00B92759">
        <w:sdt>
          <w:sdtPr>
            <w:id w:val="1883665998"/>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4F482B" w:rsidRDefault="004F482B" w:rsidP="00B92759">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4F482B" w:rsidRPr="00C15A82" w:rsidRDefault="00760CD1" w:rsidP="00760CD1">
            <w:pPr>
              <w:spacing w:line="360" w:lineRule="auto"/>
            </w:pPr>
            <w:r>
              <w:t>Proctor v</w:t>
            </w:r>
            <w:r w:rsidR="00A164B4">
              <w:t>alidate</w:t>
            </w:r>
            <w:r>
              <w:t>s</w:t>
            </w:r>
            <w:r w:rsidR="00A164B4">
              <w:t xml:space="preserve"> each C-CDA document using the</w:t>
            </w:r>
            <w:r>
              <w:t xml:space="preserve"> </w:t>
            </w:r>
            <w:r w:rsidRPr="00760CD1">
              <w:t>Edge Test Tool</w:t>
            </w:r>
            <w:r>
              <w:rPr>
                <w:rFonts w:ascii="Leelawadee UI" w:hAnsi="Leelawadee UI" w:cs="Leelawadee UI"/>
              </w:rPr>
              <w:t xml:space="preserve"> </w:t>
            </w:r>
            <w:hyperlink r:id="rId13" w:anchor="/validators" w:history="1">
              <w:r>
                <w:rPr>
                  <w:rStyle w:val="Hyperlink"/>
                </w:rPr>
                <w:t>C-CDA R2.1 Validator</w:t>
              </w:r>
            </w:hyperlink>
            <w:r>
              <w:t>.</w:t>
            </w:r>
            <w:r w:rsidR="00B028D6">
              <w:t xml:space="preserve">  All files should pass without error to confirm CCDS</w:t>
            </w:r>
            <w:r w:rsidR="00AA1C9E">
              <w:t xml:space="preserve"> summary record(s) is compliant.</w:t>
            </w:r>
          </w:p>
        </w:tc>
      </w:tr>
    </w:tbl>
    <w:p w:rsidR="00A164B4" w:rsidRDefault="00A164B4" w:rsidP="00A164B4">
      <w:pPr>
        <w:spacing w:line="360" w:lineRule="auto"/>
        <w:rPr>
          <w:color w:val="A6A6A6" w:themeColor="background1" w:themeShade="A6"/>
        </w:rPr>
      </w:pPr>
    </w:p>
    <w:p w:rsidR="00A164B4" w:rsidRDefault="00A164B4" w:rsidP="00A164B4">
      <w:pPr>
        <w:spacing w:line="360" w:lineRule="auto"/>
        <w:rPr>
          <w:color w:val="A6A6A6" w:themeColor="background1" w:themeShade="A6"/>
        </w:rPr>
      </w:pPr>
      <w:r>
        <w:rPr>
          <w:color w:val="A6A6A6" w:themeColor="background1" w:themeShade="A6"/>
        </w:rPr>
        <w:t>&lt;INSERT SCREEN SHOT</w:t>
      </w:r>
      <w:r w:rsidR="00760CD1">
        <w:rPr>
          <w:color w:val="A6A6A6" w:themeColor="background1" w:themeShade="A6"/>
        </w:rPr>
        <w:t>S</w:t>
      </w:r>
      <w:r>
        <w:rPr>
          <w:color w:val="A6A6A6" w:themeColor="background1" w:themeShade="A6"/>
        </w:rPr>
        <w:t xml:space="preserve"> OR LINK TO FILE</w:t>
      </w:r>
      <w:r w:rsidR="00760CD1">
        <w:rPr>
          <w:color w:val="A6A6A6" w:themeColor="background1" w:themeShade="A6"/>
        </w:rPr>
        <w:t>S</w:t>
      </w:r>
      <w:r w:rsidR="007A2BEB">
        <w:rPr>
          <w:color w:val="A6A6A6" w:themeColor="background1" w:themeShade="A6"/>
        </w:rPr>
        <w:t xml:space="preserve"> – Validation Reports</w:t>
      </w:r>
      <w:r w:rsidRPr="003D768F">
        <w:rPr>
          <w:color w:val="A6A6A6" w:themeColor="background1" w:themeShade="A6"/>
        </w:rPr>
        <w:t>&gt;</w:t>
      </w:r>
    </w:p>
    <w:p w:rsidR="00EC45B1" w:rsidRDefault="00EC45B1">
      <w:pPr>
        <w:rPr>
          <w:color w:val="A6A6A6" w:themeColor="background1" w:themeShade="A6"/>
        </w:rPr>
      </w:pPr>
      <w:r>
        <w:rPr>
          <w:color w:val="A6A6A6" w:themeColor="background1" w:themeShade="A6"/>
        </w:rPr>
        <w:br w:type="page"/>
      </w:r>
    </w:p>
    <w:p w:rsidR="00BB36BF" w:rsidRPr="003A1A52" w:rsidRDefault="003A1A52" w:rsidP="00BB36BF">
      <w:pPr>
        <w:spacing w:line="360" w:lineRule="auto"/>
        <w:rPr>
          <w:b/>
          <w:color w:val="000000" w:themeColor="text1"/>
        </w:rPr>
      </w:pPr>
      <w:r w:rsidRPr="003A1A52">
        <w:rPr>
          <w:b/>
          <w:color w:val="000000" w:themeColor="text1"/>
        </w:rPr>
        <w:lastRenderedPageBreak/>
        <w:t>1.2 Visual Inspection</w:t>
      </w:r>
    </w:p>
    <w:tbl>
      <w:tblPr>
        <w:tblStyle w:val="TableGrid"/>
        <w:tblW w:w="0" w:type="auto"/>
        <w:tblLook w:val="04A0" w:firstRow="1" w:lastRow="0" w:firstColumn="1" w:lastColumn="0" w:noHBand="0" w:noVBand="1"/>
      </w:tblPr>
      <w:tblGrid>
        <w:gridCol w:w="828"/>
        <w:gridCol w:w="7668"/>
      </w:tblGrid>
      <w:tr w:rsidR="005F251B" w:rsidRPr="007A2A58" w:rsidTr="002246C4">
        <w:tc>
          <w:tcPr>
            <w:tcW w:w="828" w:type="dxa"/>
            <w:tcBorders>
              <w:bottom w:val="single" w:sz="4" w:space="0" w:color="auto"/>
              <w:right w:val="single" w:sz="4" w:space="0" w:color="auto"/>
            </w:tcBorders>
          </w:tcPr>
          <w:sdt>
            <w:sdtPr>
              <w:id w:val="-237405788"/>
              <w14:checkbox>
                <w14:checked w14:val="0"/>
                <w14:checkedState w14:val="2612" w14:font="Arial Unicode MS"/>
                <w14:uncheckedState w14:val="2610" w14:font="Arial Unicode MS"/>
              </w14:checkbox>
            </w:sdtPr>
            <w:sdtEndPr/>
            <w:sdtContent>
              <w:p w:rsidR="005F251B" w:rsidRPr="007A2A58" w:rsidRDefault="005F251B" w:rsidP="00C6043C">
                <w:pPr>
                  <w:spacing w:line="360" w:lineRule="auto"/>
                  <w:rPr>
                    <w:u w:val="single"/>
                  </w:rPr>
                </w:pPr>
                <w:r w:rsidRPr="007A2A58">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5F251B" w:rsidRPr="007A2A58" w:rsidRDefault="005F251B" w:rsidP="00C6043C">
            <w:pPr>
              <w:spacing w:line="360" w:lineRule="auto"/>
            </w:pPr>
            <w:r>
              <w:t xml:space="preserve">Using the </w:t>
            </w:r>
            <w:r w:rsidRPr="00EC45B1">
              <w:t xml:space="preserve">ONC-supplied </w:t>
            </w:r>
            <w:r w:rsidRPr="00C97439">
              <w:rPr>
                <w:i/>
              </w:rPr>
              <w:t>CCDS summary record instructions</w:t>
            </w:r>
            <w:r w:rsidRPr="00EC45B1">
              <w:t xml:space="preserve"> and the </w:t>
            </w:r>
            <w:r w:rsidRPr="00C97439">
              <w:rPr>
                <w:i/>
              </w:rPr>
              <w:t>Message Content Report produced by the ETT: Message Validators</w:t>
            </w:r>
            <w:r>
              <w:t>, Proctor verifies</w:t>
            </w:r>
            <w:r w:rsidRPr="00EC45B1">
              <w:t xml:space="preserve"> the additional checks for equivalent text for the content of all section level narrative text.</w:t>
            </w:r>
          </w:p>
        </w:tc>
      </w:tr>
      <w:tr w:rsidR="001563F5" w:rsidRPr="007A2A58" w:rsidTr="002246C4">
        <w:tc>
          <w:tcPr>
            <w:tcW w:w="828" w:type="dxa"/>
            <w:tcBorders>
              <w:bottom w:val="single" w:sz="4" w:space="0" w:color="auto"/>
              <w:right w:val="single" w:sz="4" w:space="0" w:color="auto"/>
            </w:tcBorders>
          </w:tcPr>
          <w:sdt>
            <w:sdtPr>
              <w:id w:val="2107775098"/>
              <w14:checkbox>
                <w14:checked w14:val="0"/>
                <w14:checkedState w14:val="2612" w14:font="Arial Unicode MS"/>
                <w14:uncheckedState w14:val="2610" w14:font="Arial Unicode MS"/>
              </w14:checkbox>
            </w:sdtPr>
            <w:sdtEndPr/>
            <w:sdtContent>
              <w:p w:rsidR="001563F5" w:rsidRPr="007A2A58" w:rsidRDefault="001563F5" w:rsidP="000C6F74">
                <w:pPr>
                  <w:spacing w:line="360" w:lineRule="auto"/>
                  <w:rPr>
                    <w:u w:val="single"/>
                  </w:rPr>
                </w:pPr>
                <w:r w:rsidRPr="007A2A58">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822368" w:rsidRDefault="00E42AB4" w:rsidP="0079143F">
            <w:pPr>
              <w:spacing w:line="360" w:lineRule="auto"/>
            </w:pPr>
            <w:r>
              <w:t xml:space="preserve">Proctor visually inspects </w:t>
            </w:r>
            <w:r w:rsidR="00DF172E">
              <w:t xml:space="preserve">each </w:t>
            </w:r>
            <w:r>
              <w:t>C-CDA to verify it is conformant to the requirements and associated standards and equivalent to the information contained in the patient’s record</w:t>
            </w:r>
            <w:r w:rsidR="00925807">
              <w:t xml:space="preserve"> </w:t>
            </w:r>
            <w:r w:rsidR="00084885">
              <w:rPr>
                <w:i/>
              </w:rPr>
              <w:t xml:space="preserve">(see </w:t>
            </w:r>
            <w:r w:rsidR="00456C1E">
              <w:rPr>
                <w:i/>
              </w:rPr>
              <w:t>“</w:t>
            </w:r>
            <w:r w:rsidR="00084885">
              <w:rPr>
                <w:i/>
              </w:rPr>
              <w:t>CCDS Reference Table</w:t>
            </w:r>
            <w:r w:rsidR="00456C1E">
              <w:rPr>
                <w:i/>
              </w:rPr>
              <w:t>”</w:t>
            </w:r>
            <w:r w:rsidR="00084885">
              <w:rPr>
                <w:i/>
              </w:rPr>
              <w:t xml:space="preserve"> below</w:t>
            </w:r>
            <w:r w:rsidR="00925807" w:rsidRPr="00925807">
              <w:rPr>
                <w:i/>
              </w:rPr>
              <w:t>)</w:t>
            </w:r>
            <w:r w:rsidR="0079143F" w:rsidRPr="00925807">
              <w:rPr>
                <w:i/>
              </w:rPr>
              <w:t>:</w:t>
            </w:r>
          </w:p>
          <w:p w:rsidR="0079143F" w:rsidRPr="00822368" w:rsidRDefault="0079143F" w:rsidP="00822368">
            <w:pPr>
              <w:pStyle w:val="ListParagraph"/>
              <w:numPr>
                <w:ilvl w:val="0"/>
                <w:numId w:val="40"/>
              </w:numPr>
              <w:spacing w:line="360" w:lineRule="auto"/>
              <w:rPr>
                <w:b/>
              </w:rPr>
            </w:pPr>
            <w:r w:rsidRPr="00822368">
              <w:rPr>
                <w:b/>
              </w:rPr>
              <w:t>The Common Clinical Data Set</w:t>
            </w:r>
            <w:r w:rsidR="00A16CFF">
              <w:rPr>
                <w:b/>
              </w:rPr>
              <w:t>;</w:t>
            </w:r>
          </w:p>
          <w:p w:rsidR="0079143F" w:rsidRPr="00822368" w:rsidRDefault="0079143F" w:rsidP="00822368">
            <w:pPr>
              <w:pStyle w:val="ListParagraph"/>
              <w:numPr>
                <w:ilvl w:val="0"/>
                <w:numId w:val="40"/>
              </w:numPr>
              <w:spacing w:line="360" w:lineRule="auto"/>
              <w:rPr>
                <w:b/>
              </w:rPr>
            </w:pPr>
            <w:r w:rsidRPr="00822368">
              <w:rPr>
                <w:b/>
              </w:rPr>
              <w:t>Encounter Diagnosis</w:t>
            </w:r>
            <w:r w:rsidR="00A16CFF">
              <w:rPr>
                <w:b/>
              </w:rPr>
              <w:t>;</w:t>
            </w:r>
          </w:p>
          <w:p w:rsidR="0079143F" w:rsidRPr="00822368" w:rsidRDefault="0079143F" w:rsidP="00822368">
            <w:pPr>
              <w:pStyle w:val="ListParagraph"/>
              <w:numPr>
                <w:ilvl w:val="0"/>
                <w:numId w:val="40"/>
              </w:numPr>
              <w:spacing w:line="360" w:lineRule="auto"/>
              <w:rPr>
                <w:b/>
              </w:rPr>
            </w:pPr>
            <w:r w:rsidRPr="00822368">
              <w:rPr>
                <w:b/>
              </w:rPr>
              <w:t>Cognitive Status</w:t>
            </w:r>
            <w:r w:rsidR="00A16CFF">
              <w:rPr>
                <w:b/>
              </w:rPr>
              <w:t>;</w:t>
            </w:r>
          </w:p>
          <w:p w:rsidR="0079143F" w:rsidRPr="00822368" w:rsidRDefault="0079143F" w:rsidP="00822368">
            <w:pPr>
              <w:pStyle w:val="ListParagraph"/>
              <w:numPr>
                <w:ilvl w:val="0"/>
                <w:numId w:val="40"/>
              </w:numPr>
              <w:spacing w:line="360" w:lineRule="auto"/>
              <w:rPr>
                <w:b/>
              </w:rPr>
            </w:pPr>
            <w:r w:rsidRPr="00822368">
              <w:rPr>
                <w:b/>
              </w:rPr>
              <w:t>Functional Status</w:t>
            </w:r>
            <w:r w:rsidR="00A16CFF">
              <w:rPr>
                <w:b/>
              </w:rPr>
              <w:t>;</w:t>
            </w:r>
          </w:p>
          <w:p w:rsidR="0079143F" w:rsidRDefault="00822368" w:rsidP="00822368">
            <w:pPr>
              <w:pStyle w:val="ListParagraph"/>
              <w:numPr>
                <w:ilvl w:val="0"/>
                <w:numId w:val="40"/>
              </w:numPr>
              <w:spacing w:line="360" w:lineRule="auto"/>
            </w:pPr>
            <w:r w:rsidRPr="00822368">
              <w:rPr>
                <w:i/>
              </w:rPr>
              <w:t>Ambulatory setting only</w:t>
            </w:r>
            <w:r>
              <w:t xml:space="preserve">: </w:t>
            </w:r>
            <w:r w:rsidR="0079143F" w:rsidRPr="00822368">
              <w:rPr>
                <w:b/>
              </w:rPr>
              <w:t>Reason for referral, referring provider name and contact info</w:t>
            </w:r>
            <w:r w:rsidR="00A16CFF">
              <w:rPr>
                <w:b/>
              </w:rPr>
              <w:t>;</w:t>
            </w:r>
          </w:p>
          <w:p w:rsidR="0079143F" w:rsidRDefault="00822368" w:rsidP="00822368">
            <w:pPr>
              <w:pStyle w:val="ListParagraph"/>
              <w:numPr>
                <w:ilvl w:val="0"/>
                <w:numId w:val="40"/>
              </w:numPr>
              <w:spacing w:line="360" w:lineRule="auto"/>
            </w:pPr>
            <w:r w:rsidRPr="00822368">
              <w:rPr>
                <w:i/>
              </w:rPr>
              <w:t xml:space="preserve">Inpatient setting only: </w:t>
            </w:r>
            <w:r w:rsidR="0079143F" w:rsidRPr="00822368">
              <w:rPr>
                <w:b/>
              </w:rPr>
              <w:t>Discharge Instructions</w:t>
            </w:r>
            <w:r w:rsidR="00A16CFF">
              <w:rPr>
                <w:b/>
              </w:rPr>
              <w:t>; and</w:t>
            </w:r>
            <w:r w:rsidR="0079143F">
              <w:t xml:space="preserve"> </w:t>
            </w:r>
            <w:r>
              <w:t xml:space="preserve"> </w:t>
            </w:r>
          </w:p>
          <w:p w:rsidR="0079143F" w:rsidRPr="001944A3" w:rsidRDefault="0079143F" w:rsidP="00822368">
            <w:pPr>
              <w:pStyle w:val="ListParagraph"/>
              <w:numPr>
                <w:ilvl w:val="0"/>
                <w:numId w:val="39"/>
              </w:numPr>
              <w:spacing w:line="360" w:lineRule="auto"/>
              <w:rPr>
                <w:b/>
              </w:rPr>
            </w:pPr>
            <w:r w:rsidRPr="001944A3">
              <w:rPr>
                <w:b/>
              </w:rPr>
              <w:t>Patient Matching Data</w:t>
            </w:r>
            <w:r w:rsidR="00A16CFF">
              <w:rPr>
                <w:b/>
              </w:rPr>
              <w:t>.</w:t>
            </w:r>
          </w:p>
        </w:tc>
      </w:tr>
    </w:tbl>
    <w:p w:rsidR="00BB36BF" w:rsidRPr="001563F5" w:rsidRDefault="00BB36BF" w:rsidP="00BB36BF">
      <w:pPr>
        <w:spacing w:line="360" w:lineRule="auto"/>
        <w:rPr>
          <w:color w:val="000000" w:themeColor="text1"/>
          <w:highlight w:val="yellow"/>
        </w:rPr>
      </w:pPr>
    </w:p>
    <w:p w:rsidR="009B02A8" w:rsidRPr="003D768F" w:rsidRDefault="009B02A8" w:rsidP="009B02A8">
      <w:pPr>
        <w:spacing w:line="360" w:lineRule="auto"/>
        <w:rPr>
          <w:color w:val="A6A6A6" w:themeColor="background1" w:themeShade="A6"/>
        </w:rPr>
      </w:pPr>
      <w:r>
        <w:rPr>
          <w:color w:val="A6A6A6" w:themeColor="background1" w:themeShade="A6"/>
        </w:rPr>
        <w:t xml:space="preserve">&lt;INSERT </w:t>
      </w:r>
      <w:r w:rsidR="00FB7C04">
        <w:rPr>
          <w:color w:val="A6A6A6" w:themeColor="background1" w:themeShade="A6"/>
        </w:rPr>
        <w:t>SCREEN SHOTS</w:t>
      </w:r>
      <w:r w:rsidRPr="003D768F">
        <w:rPr>
          <w:color w:val="A6A6A6" w:themeColor="background1" w:themeShade="A6"/>
        </w:rPr>
        <w:t>&gt;</w:t>
      </w:r>
    </w:p>
    <w:p w:rsidR="009053B2" w:rsidRDefault="009053B2" w:rsidP="00423F87">
      <w:pPr>
        <w:jc w:val="center"/>
        <w:rPr>
          <w:b/>
          <w:color w:val="000000" w:themeColor="text1"/>
        </w:rPr>
      </w:pPr>
      <w:r>
        <w:rPr>
          <w:b/>
          <w:color w:val="000000" w:themeColor="text1"/>
        </w:rPr>
        <w:br w:type="page"/>
      </w:r>
      <w:r w:rsidR="00423F87">
        <w:rPr>
          <w:b/>
          <w:color w:val="000000" w:themeColor="text1"/>
        </w:rPr>
        <w:lastRenderedPageBreak/>
        <w:t>CCDS Reference Table</w:t>
      </w:r>
    </w:p>
    <w:p w:rsidR="00A73BD3" w:rsidRPr="0030028C" w:rsidRDefault="008202F4" w:rsidP="00A73BD3">
      <w:pPr>
        <w:spacing w:line="360" w:lineRule="auto"/>
        <w:jc w:val="center"/>
      </w:pPr>
      <w:hyperlink r:id="rId14" w:history="1">
        <w:r w:rsidR="00A73BD3">
          <w:rPr>
            <w:rStyle w:val="Hyperlink"/>
          </w:rPr>
          <w:t xml:space="preserve">2015 Common Clinical Data Set </w:t>
        </w:r>
      </w:hyperlink>
    </w:p>
    <w:tbl>
      <w:tblPr>
        <w:tblStyle w:val="TableGrid"/>
        <w:tblW w:w="0" w:type="auto"/>
        <w:tblLook w:val="04A0" w:firstRow="1" w:lastRow="0" w:firstColumn="1" w:lastColumn="0" w:noHBand="0" w:noVBand="1"/>
      </w:tblPr>
      <w:tblGrid>
        <w:gridCol w:w="445"/>
        <w:gridCol w:w="2044"/>
        <w:gridCol w:w="2836"/>
        <w:gridCol w:w="3305"/>
      </w:tblGrid>
      <w:tr w:rsidR="009B02A8" w:rsidRPr="005F4354" w:rsidTr="000C6F74">
        <w:tc>
          <w:tcPr>
            <w:tcW w:w="445" w:type="dxa"/>
            <w:shd w:val="clear" w:color="auto" w:fill="DBE5F1" w:themeFill="accent1" w:themeFillTint="33"/>
          </w:tcPr>
          <w:p w:rsidR="009B02A8" w:rsidRPr="009B02A8" w:rsidRDefault="009B02A8" w:rsidP="000C6F74">
            <w:pPr>
              <w:rPr>
                <w:rFonts w:ascii="Leelawadee UI" w:hAnsi="Leelawadee UI" w:cs="Leelawadee UI"/>
                <w:b/>
                <w:sz w:val="18"/>
                <w:szCs w:val="18"/>
              </w:rPr>
            </w:pPr>
          </w:p>
        </w:tc>
        <w:tc>
          <w:tcPr>
            <w:tcW w:w="2044" w:type="dxa"/>
            <w:shd w:val="clear" w:color="auto" w:fill="DBE5F1" w:themeFill="accent1" w:themeFillTint="33"/>
          </w:tcPr>
          <w:p w:rsidR="009B02A8" w:rsidRPr="009B02A8" w:rsidRDefault="009B02A8" w:rsidP="000C6F74">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B02A8" w:rsidRPr="009B02A8" w:rsidRDefault="009B02A8" w:rsidP="000C6F74">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3305" w:type="dxa"/>
            <w:shd w:val="clear" w:color="auto" w:fill="DBE5F1" w:themeFill="accent1" w:themeFillTint="33"/>
          </w:tcPr>
          <w:p w:rsidR="009B02A8" w:rsidRPr="009B02A8" w:rsidRDefault="009B02A8" w:rsidP="000C6F74">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B02A8" w:rsidRPr="00A55F60" w:rsidTr="000C6F74">
        <w:sdt>
          <w:sdtPr>
            <w:rPr>
              <w:sz w:val="18"/>
              <w:szCs w:val="18"/>
            </w:rPr>
            <w:id w:val="1877734786"/>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Patient Name</w:t>
            </w:r>
          </w:p>
        </w:tc>
        <w:tc>
          <w:tcPr>
            <w:tcW w:w="3305" w:type="dxa"/>
          </w:tcPr>
          <w:p w:rsidR="009B02A8" w:rsidRPr="009B02A8" w:rsidRDefault="009B02A8" w:rsidP="000C6F74">
            <w:pPr>
              <w:outlineLvl w:val="3"/>
              <w:rPr>
                <w:b/>
                <w:sz w:val="18"/>
                <w:szCs w:val="18"/>
              </w:rPr>
            </w:pPr>
            <w:r w:rsidRPr="009B02A8">
              <w:rPr>
                <w:b/>
                <w:sz w:val="18"/>
                <w:szCs w:val="18"/>
              </w:rPr>
              <w:t>&lt;Not applicable&gt;</w:t>
            </w:r>
          </w:p>
        </w:tc>
      </w:tr>
      <w:tr w:rsidR="009B02A8" w:rsidRPr="00E074CB" w:rsidTr="000C6F74">
        <w:sdt>
          <w:sdtPr>
            <w:rPr>
              <w:sz w:val="18"/>
              <w:szCs w:val="18"/>
            </w:rPr>
            <w:id w:val="-582689269"/>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Sex; including Birth sex</w:t>
            </w:r>
          </w:p>
        </w:tc>
        <w:tc>
          <w:tcPr>
            <w:tcW w:w="3305" w:type="dxa"/>
          </w:tcPr>
          <w:p w:rsidR="009B02A8" w:rsidRPr="009B02A8" w:rsidRDefault="009B02A8" w:rsidP="000C6F74">
            <w:pPr>
              <w:outlineLvl w:val="3"/>
              <w:rPr>
                <w:b/>
                <w:color w:val="000000" w:themeColor="text1"/>
                <w:sz w:val="18"/>
                <w:szCs w:val="18"/>
              </w:rPr>
            </w:pPr>
            <w:r w:rsidRPr="009B02A8">
              <w:rPr>
                <w:b/>
                <w:sz w:val="18"/>
                <w:szCs w:val="18"/>
              </w:rPr>
              <w:t xml:space="preserve">§170.207 (n)(1) </w:t>
            </w:r>
          </w:p>
        </w:tc>
      </w:tr>
      <w:tr w:rsidR="009B02A8" w:rsidRPr="00A55F60" w:rsidTr="000C6F74">
        <w:sdt>
          <w:sdtPr>
            <w:rPr>
              <w:sz w:val="18"/>
              <w:szCs w:val="18"/>
            </w:rPr>
            <w:id w:val="-1465198134"/>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 xml:space="preserve">Date of Birth </w:t>
            </w:r>
          </w:p>
        </w:tc>
        <w:tc>
          <w:tcPr>
            <w:tcW w:w="3305" w:type="dxa"/>
          </w:tcPr>
          <w:p w:rsidR="009B02A8" w:rsidRPr="009B02A8" w:rsidRDefault="009B02A8" w:rsidP="000C6F74">
            <w:pPr>
              <w:outlineLvl w:val="3"/>
              <w:rPr>
                <w:b/>
                <w:sz w:val="18"/>
                <w:szCs w:val="18"/>
              </w:rPr>
            </w:pPr>
            <w:r w:rsidRPr="009B02A8">
              <w:rPr>
                <w:b/>
                <w:sz w:val="18"/>
                <w:szCs w:val="18"/>
              </w:rPr>
              <w:t>&lt;Not applicable&gt;</w:t>
            </w:r>
          </w:p>
        </w:tc>
      </w:tr>
      <w:tr w:rsidR="009B02A8" w:rsidRPr="00E074CB" w:rsidTr="0028079A">
        <w:trPr>
          <w:trHeight w:val="350"/>
        </w:trPr>
        <w:sdt>
          <w:sdtPr>
            <w:rPr>
              <w:sz w:val="18"/>
              <w:szCs w:val="18"/>
            </w:rPr>
            <w:id w:val="1960441275"/>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Race</w:t>
            </w:r>
          </w:p>
        </w:tc>
        <w:tc>
          <w:tcPr>
            <w:tcW w:w="3305" w:type="dxa"/>
          </w:tcPr>
          <w:p w:rsidR="009B02A8" w:rsidRDefault="0028079A" w:rsidP="0028079A">
            <w:pPr>
              <w:outlineLvl w:val="3"/>
              <w:rPr>
                <w:b/>
                <w:sz w:val="18"/>
                <w:szCs w:val="18"/>
              </w:rPr>
            </w:pPr>
            <w:r>
              <w:rPr>
                <w:b/>
                <w:sz w:val="18"/>
                <w:szCs w:val="18"/>
              </w:rPr>
              <w:t>§170.207 (f)(2</w:t>
            </w:r>
            <w:r w:rsidR="009B02A8" w:rsidRPr="009B02A8">
              <w:rPr>
                <w:b/>
                <w:sz w:val="18"/>
                <w:szCs w:val="18"/>
              </w:rPr>
              <w:t xml:space="preserve">) </w:t>
            </w:r>
            <w:r w:rsidR="006373C4">
              <w:rPr>
                <w:sz w:val="18"/>
                <w:szCs w:val="18"/>
              </w:rPr>
              <w:t>m</w:t>
            </w:r>
            <w:r w:rsidR="009B02A8" w:rsidRPr="009B02A8">
              <w:rPr>
                <w:sz w:val="18"/>
                <w:szCs w:val="18"/>
              </w:rPr>
              <w:t xml:space="preserve">apped to </w:t>
            </w:r>
            <w:r w:rsidR="006373C4">
              <w:rPr>
                <w:b/>
                <w:sz w:val="18"/>
                <w:szCs w:val="18"/>
              </w:rPr>
              <w:t>§170.207</w:t>
            </w:r>
            <w:r>
              <w:rPr>
                <w:b/>
                <w:sz w:val="18"/>
                <w:szCs w:val="18"/>
              </w:rPr>
              <w:t>(f)(1</w:t>
            </w:r>
            <w:r w:rsidR="009B02A8" w:rsidRPr="009B02A8">
              <w:rPr>
                <w:b/>
                <w:sz w:val="18"/>
                <w:szCs w:val="18"/>
              </w:rPr>
              <w:t>)</w:t>
            </w:r>
            <w:r w:rsidR="006373C4">
              <w:rPr>
                <w:b/>
                <w:sz w:val="18"/>
                <w:szCs w:val="18"/>
              </w:rPr>
              <w:t xml:space="preserve">; </w:t>
            </w:r>
          </w:p>
          <w:p w:rsidR="0028079A" w:rsidRPr="009B02A8" w:rsidRDefault="0028079A" w:rsidP="0028079A">
            <w:pPr>
              <w:outlineLvl w:val="3"/>
              <w:rPr>
                <w:b/>
                <w:color w:val="000000" w:themeColor="text1"/>
                <w:sz w:val="18"/>
                <w:szCs w:val="18"/>
              </w:rPr>
            </w:pPr>
            <w:r w:rsidRPr="009B02A8">
              <w:rPr>
                <w:b/>
                <w:sz w:val="18"/>
                <w:szCs w:val="18"/>
              </w:rPr>
              <w:t>§170.207 (f)(2)</w:t>
            </w:r>
          </w:p>
        </w:tc>
      </w:tr>
      <w:tr w:rsidR="009B02A8" w:rsidRPr="00E074CB" w:rsidTr="000C6F74">
        <w:sdt>
          <w:sdtPr>
            <w:rPr>
              <w:sz w:val="18"/>
              <w:szCs w:val="18"/>
            </w:rPr>
            <w:id w:val="1771043698"/>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Ethnicity</w:t>
            </w:r>
          </w:p>
        </w:tc>
        <w:tc>
          <w:tcPr>
            <w:tcW w:w="3305" w:type="dxa"/>
          </w:tcPr>
          <w:p w:rsidR="009B02A8" w:rsidRDefault="009B02A8" w:rsidP="008A4299">
            <w:pPr>
              <w:outlineLvl w:val="3"/>
              <w:rPr>
                <w:b/>
                <w:sz w:val="18"/>
                <w:szCs w:val="18"/>
              </w:rPr>
            </w:pPr>
            <w:r w:rsidRPr="009B02A8">
              <w:rPr>
                <w:b/>
                <w:sz w:val="18"/>
                <w:szCs w:val="18"/>
              </w:rPr>
              <w:t>§17</w:t>
            </w:r>
            <w:r w:rsidR="0028079A">
              <w:rPr>
                <w:b/>
                <w:sz w:val="18"/>
                <w:szCs w:val="18"/>
              </w:rPr>
              <w:t>0.207 (f)(2</w:t>
            </w:r>
            <w:r w:rsidR="008A4299">
              <w:rPr>
                <w:b/>
                <w:sz w:val="18"/>
                <w:szCs w:val="18"/>
              </w:rPr>
              <w:t xml:space="preserve">) </w:t>
            </w:r>
            <w:r w:rsidR="008A4299" w:rsidRPr="006373C4">
              <w:rPr>
                <w:sz w:val="18"/>
                <w:szCs w:val="18"/>
              </w:rPr>
              <w:t>mapped to</w:t>
            </w:r>
            <w:r w:rsidR="008A4299">
              <w:rPr>
                <w:b/>
                <w:sz w:val="18"/>
                <w:szCs w:val="18"/>
              </w:rPr>
              <w:t xml:space="preserve"> §170.207</w:t>
            </w:r>
            <w:r w:rsidR="0028079A">
              <w:rPr>
                <w:b/>
                <w:sz w:val="18"/>
                <w:szCs w:val="18"/>
              </w:rPr>
              <w:t>(f)(1</w:t>
            </w:r>
            <w:r w:rsidRPr="009B02A8">
              <w:rPr>
                <w:b/>
                <w:sz w:val="18"/>
                <w:szCs w:val="18"/>
              </w:rPr>
              <w:t>)</w:t>
            </w:r>
            <w:r w:rsidR="006373C4">
              <w:rPr>
                <w:b/>
                <w:sz w:val="18"/>
                <w:szCs w:val="18"/>
              </w:rPr>
              <w:t>;</w:t>
            </w:r>
          </w:p>
          <w:p w:rsidR="006373C4" w:rsidRPr="009B02A8" w:rsidRDefault="006373C4" w:rsidP="008A4299">
            <w:pPr>
              <w:outlineLvl w:val="3"/>
              <w:rPr>
                <w:b/>
                <w:color w:val="000000" w:themeColor="text1"/>
                <w:sz w:val="18"/>
                <w:szCs w:val="18"/>
              </w:rPr>
            </w:pPr>
            <w:r w:rsidRPr="009B02A8">
              <w:rPr>
                <w:b/>
                <w:sz w:val="18"/>
                <w:szCs w:val="18"/>
              </w:rPr>
              <w:t>§170.207 (f)(2)</w:t>
            </w:r>
          </w:p>
        </w:tc>
      </w:tr>
      <w:tr w:rsidR="009B02A8" w:rsidRPr="00E074CB" w:rsidTr="000C6F74">
        <w:sdt>
          <w:sdtPr>
            <w:rPr>
              <w:sz w:val="18"/>
              <w:szCs w:val="18"/>
            </w:rPr>
            <w:id w:val="-1393269526"/>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Preferred Language</w:t>
            </w:r>
          </w:p>
        </w:tc>
        <w:tc>
          <w:tcPr>
            <w:tcW w:w="3305" w:type="dxa"/>
          </w:tcPr>
          <w:p w:rsidR="009B02A8" w:rsidRPr="009B02A8" w:rsidRDefault="009B02A8" w:rsidP="009451C9">
            <w:pPr>
              <w:outlineLvl w:val="3"/>
              <w:rPr>
                <w:b/>
                <w:color w:val="000000" w:themeColor="text1"/>
                <w:sz w:val="18"/>
                <w:szCs w:val="18"/>
              </w:rPr>
            </w:pPr>
            <w:r w:rsidRPr="009B02A8">
              <w:rPr>
                <w:b/>
                <w:sz w:val="18"/>
                <w:szCs w:val="18"/>
              </w:rPr>
              <w:t xml:space="preserve">§170.207 (g)(2) </w:t>
            </w:r>
            <w:r w:rsidRPr="009B02A8">
              <w:rPr>
                <w:sz w:val="18"/>
                <w:szCs w:val="18"/>
              </w:rPr>
              <w:t xml:space="preserve"> </w:t>
            </w:r>
          </w:p>
        </w:tc>
      </w:tr>
      <w:tr w:rsidR="009B02A8" w:rsidRPr="00E074CB" w:rsidTr="002277F1">
        <w:trPr>
          <w:trHeight w:val="215"/>
        </w:trPr>
        <w:sdt>
          <w:sdtPr>
            <w:rPr>
              <w:sz w:val="18"/>
              <w:szCs w:val="18"/>
            </w:rPr>
            <w:id w:val="-1121293556"/>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Smoking Status</w:t>
            </w:r>
          </w:p>
        </w:tc>
        <w:tc>
          <w:tcPr>
            <w:tcW w:w="3305" w:type="dxa"/>
          </w:tcPr>
          <w:p w:rsidR="009B02A8" w:rsidRPr="009B02A8" w:rsidRDefault="009B02A8" w:rsidP="002277F1">
            <w:pPr>
              <w:outlineLvl w:val="3"/>
              <w:rPr>
                <w:b/>
                <w:color w:val="000000" w:themeColor="text1"/>
                <w:sz w:val="18"/>
                <w:szCs w:val="18"/>
              </w:rPr>
            </w:pPr>
            <w:r w:rsidRPr="009B02A8">
              <w:rPr>
                <w:b/>
                <w:sz w:val="18"/>
                <w:szCs w:val="18"/>
              </w:rPr>
              <w:t xml:space="preserve">§170.207 (h) </w:t>
            </w:r>
          </w:p>
        </w:tc>
      </w:tr>
      <w:tr w:rsidR="009B02A8" w:rsidRPr="00A55F60" w:rsidTr="000C6F74">
        <w:sdt>
          <w:sdtPr>
            <w:rPr>
              <w:sz w:val="18"/>
              <w:szCs w:val="18"/>
            </w:rPr>
            <w:id w:val="348840782"/>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 xml:space="preserve">Problems </w:t>
            </w:r>
          </w:p>
        </w:tc>
        <w:tc>
          <w:tcPr>
            <w:tcW w:w="3305" w:type="dxa"/>
          </w:tcPr>
          <w:p w:rsidR="009B02A8" w:rsidRPr="009B02A8" w:rsidRDefault="009B02A8" w:rsidP="000C6F74">
            <w:pPr>
              <w:outlineLvl w:val="3"/>
              <w:rPr>
                <w:b/>
                <w:sz w:val="18"/>
                <w:szCs w:val="18"/>
              </w:rPr>
            </w:pPr>
            <w:r w:rsidRPr="009B02A8">
              <w:rPr>
                <w:b/>
                <w:sz w:val="18"/>
                <w:szCs w:val="18"/>
              </w:rPr>
              <w:t xml:space="preserve">§170.207 (a)(4) </w:t>
            </w:r>
          </w:p>
        </w:tc>
      </w:tr>
      <w:tr w:rsidR="009B02A8" w:rsidRPr="00E074CB" w:rsidTr="000C6F74">
        <w:sdt>
          <w:sdtPr>
            <w:rPr>
              <w:sz w:val="18"/>
              <w:szCs w:val="18"/>
            </w:rPr>
            <w:id w:val="-252050175"/>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Medications</w:t>
            </w:r>
          </w:p>
        </w:tc>
        <w:tc>
          <w:tcPr>
            <w:tcW w:w="3305" w:type="dxa"/>
          </w:tcPr>
          <w:p w:rsidR="009B02A8" w:rsidRPr="009B02A8" w:rsidRDefault="009B02A8" w:rsidP="000C6F74">
            <w:pPr>
              <w:rPr>
                <w:b/>
                <w:color w:val="000000" w:themeColor="text1"/>
                <w:sz w:val="18"/>
                <w:szCs w:val="18"/>
              </w:rPr>
            </w:pPr>
            <w:r w:rsidRPr="009B02A8">
              <w:rPr>
                <w:b/>
                <w:sz w:val="18"/>
                <w:szCs w:val="18"/>
              </w:rPr>
              <w:t xml:space="preserve">§170.207 (d)(3) </w:t>
            </w:r>
          </w:p>
        </w:tc>
      </w:tr>
      <w:tr w:rsidR="009B02A8" w:rsidRPr="00E074CB" w:rsidTr="000C6F74">
        <w:sdt>
          <w:sdtPr>
            <w:rPr>
              <w:sz w:val="18"/>
              <w:szCs w:val="18"/>
            </w:rPr>
            <w:id w:val="1289318140"/>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Allergies</w:t>
            </w:r>
          </w:p>
        </w:tc>
        <w:tc>
          <w:tcPr>
            <w:tcW w:w="3305" w:type="dxa"/>
          </w:tcPr>
          <w:p w:rsidR="009B02A8" w:rsidRPr="009B02A8" w:rsidRDefault="009B02A8" w:rsidP="000C6F74">
            <w:pPr>
              <w:rPr>
                <w:b/>
                <w:color w:val="000000" w:themeColor="text1"/>
                <w:sz w:val="18"/>
                <w:szCs w:val="18"/>
              </w:rPr>
            </w:pPr>
            <w:r w:rsidRPr="009B02A8">
              <w:rPr>
                <w:b/>
                <w:sz w:val="18"/>
                <w:szCs w:val="18"/>
              </w:rPr>
              <w:t xml:space="preserve">§170.207 (d)(3) </w:t>
            </w:r>
          </w:p>
        </w:tc>
      </w:tr>
      <w:tr w:rsidR="009B02A8" w:rsidRPr="0017610B" w:rsidTr="000C6F74">
        <w:sdt>
          <w:sdtPr>
            <w:rPr>
              <w:sz w:val="18"/>
              <w:szCs w:val="18"/>
            </w:rPr>
            <w:id w:val="45730223"/>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Lab Tests</w:t>
            </w:r>
          </w:p>
        </w:tc>
        <w:tc>
          <w:tcPr>
            <w:tcW w:w="3305" w:type="dxa"/>
          </w:tcPr>
          <w:p w:rsidR="009B02A8" w:rsidRPr="009B02A8" w:rsidRDefault="009B02A8" w:rsidP="000C6F74">
            <w:pPr>
              <w:rPr>
                <w:b/>
                <w:color w:val="000000" w:themeColor="text1"/>
                <w:sz w:val="18"/>
                <w:szCs w:val="18"/>
              </w:rPr>
            </w:pPr>
            <w:r w:rsidRPr="009B02A8">
              <w:rPr>
                <w:b/>
                <w:sz w:val="18"/>
                <w:szCs w:val="18"/>
              </w:rPr>
              <w:t xml:space="preserve">§170.207 (m)(1) </w:t>
            </w:r>
          </w:p>
        </w:tc>
      </w:tr>
      <w:tr w:rsidR="009B02A8" w:rsidRPr="00001E37" w:rsidTr="000C6F74">
        <w:sdt>
          <w:sdtPr>
            <w:rPr>
              <w:sz w:val="18"/>
              <w:szCs w:val="18"/>
            </w:rPr>
            <w:id w:val="-1382542260"/>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Lab Values(s)/Results</w:t>
            </w:r>
          </w:p>
        </w:tc>
        <w:tc>
          <w:tcPr>
            <w:tcW w:w="3305" w:type="dxa"/>
          </w:tcPr>
          <w:p w:rsidR="009B02A8" w:rsidRPr="009B02A8" w:rsidRDefault="009B02A8" w:rsidP="000C6F74">
            <w:pPr>
              <w:outlineLvl w:val="3"/>
              <w:rPr>
                <w:b/>
                <w:sz w:val="18"/>
                <w:szCs w:val="18"/>
              </w:rPr>
            </w:pPr>
            <w:r w:rsidRPr="009B02A8">
              <w:rPr>
                <w:b/>
                <w:sz w:val="18"/>
                <w:szCs w:val="18"/>
              </w:rPr>
              <w:t>&lt;Not applicable&gt;</w:t>
            </w:r>
          </w:p>
        </w:tc>
      </w:tr>
      <w:tr w:rsidR="009B02A8" w:rsidRPr="00E074CB" w:rsidTr="000C6F74">
        <w:sdt>
          <w:sdtPr>
            <w:rPr>
              <w:sz w:val="18"/>
              <w:szCs w:val="18"/>
            </w:rPr>
            <w:id w:val="-382789446"/>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Vital Signs</w:t>
            </w:r>
          </w:p>
        </w:tc>
        <w:tc>
          <w:tcPr>
            <w:tcW w:w="3305" w:type="dxa"/>
          </w:tcPr>
          <w:p w:rsidR="009B02A8" w:rsidRPr="009B02A8" w:rsidRDefault="009B02A8" w:rsidP="00641993">
            <w:pPr>
              <w:outlineLvl w:val="3"/>
              <w:rPr>
                <w:b/>
                <w:color w:val="000000" w:themeColor="text1"/>
                <w:sz w:val="18"/>
                <w:szCs w:val="18"/>
              </w:rPr>
            </w:pPr>
            <w:r w:rsidRPr="009B02A8">
              <w:rPr>
                <w:b/>
                <w:sz w:val="18"/>
                <w:szCs w:val="18"/>
              </w:rPr>
              <w:t>§170.207 (k)(1), §170.207 (m)(1)</w:t>
            </w:r>
          </w:p>
        </w:tc>
      </w:tr>
      <w:tr w:rsidR="009B02A8" w:rsidRPr="00E074CB" w:rsidTr="000C6F74">
        <w:sdt>
          <w:sdtPr>
            <w:rPr>
              <w:sz w:val="18"/>
              <w:szCs w:val="18"/>
            </w:rPr>
            <w:id w:val="-713654204"/>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BMI (Optional)</w:t>
            </w:r>
          </w:p>
        </w:tc>
        <w:tc>
          <w:tcPr>
            <w:tcW w:w="3305" w:type="dxa"/>
          </w:tcPr>
          <w:p w:rsidR="009B02A8" w:rsidRPr="009B02A8" w:rsidRDefault="009B02A8" w:rsidP="000C6F74">
            <w:pPr>
              <w:outlineLvl w:val="3"/>
              <w:rPr>
                <w:b/>
                <w:color w:val="000000" w:themeColor="text1"/>
                <w:sz w:val="18"/>
                <w:szCs w:val="18"/>
              </w:rPr>
            </w:pPr>
            <w:r w:rsidRPr="009B02A8">
              <w:rPr>
                <w:b/>
                <w:sz w:val="18"/>
                <w:szCs w:val="18"/>
              </w:rPr>
              <w:t>§170.207 (c)(3), §170.207 (m)(1)</w:t>
            </w:r>
          </w:p>
        </w:tc>
      </w:tr>
      <w:tr w:rsidR="009B02A8" w:rsidRPr="00A55F60" w:rsidTr="000C6F74">
        <w:sdt>
          <w:sdtPr>
            <w:rPr>
              <w:sz w:val="18"/>
              <w:szCs w:val="18"/>
            </w:rPr>
            <w:id w:val="1621797029"/>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Procedures</w:t>
            </w:r>
          </w:p>
        </w:tc>
        <w:tc>
          <w:tcPr>
            <w:tcW w:w="3305" w:type="dxa"/>
          </w:tcPr>
          <w:p w:rsidR="009B02A8" w:rsidRPr="009B02A8" w:rsidRDefault="009B02A8" w:rsidP="000C6F74">
            <w:pPr>
              <w:outlineLvl w:val="3"/>
              <w:rPr>
                <w:sz w:val="18"/>
                <w:szCs w:val="18"/>
              </w:rPr>
            </w:pPr>
            <w:r w:rsidRPr="009B02A8">
              <w:rPr>
                <w:b/>
                <w:sz w:val="18"/>
                <w:szCs w:val="18"/>
              </w:rPr>
              <w:t xml:space="preserve">§170.207 (a)(4) </w:t>
            </w:r>
          </w:p>
          <w:p w:rsidR="009B02A8" w:rsidRPr="009B02A8" w:rsidRDefault="009B02A8" w:rsidP="000C6F74">
            <w:pPr>
              <w:outlineLvl w:val="3"/>
              <w:rPr>
                <w:b/>
                <w:sz w:val="18"/>
                <w:szCs w:val="18"/>
              </w:rPr>
            </w:pPr>
            <w:r w:rsidRPr="009B02A8">
              <w:rPr>
                <w:b/>
                <w:sz w:val="18"/>
                <w:szCs w:val="18"/>
              </w:rPr>
              <w:t xml:space="preserve">§170.207 (b)(2) </w:t>
            </w:r>
          </w:p>
        </w:tc>
      </w:tr>
      <w:tr w:rsidR="009B02A8" w:rsidRPr="00E074CB" w:rsidTr="000C6F74">
        <w:sdt>
          <w:sdtPr>
            <w:rPr>
              <w:sz w:val="18"/>
              <w:szCs w:val="18"/>
            </w:rPr>
            <w:id w:val="564684389"/>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Procedures (Optional: for dental systems)</w:t>
            </w:r>
          </w:p>
        </w:tc>
        <w:tc>
          <w:tcPr>
            <w:tcW w:w="3305" w:type="dxa"/>
          </w:tcPr>
          <w:p w:rsidR="009B02A8" w:rsidRPr="009B02A8" w:rsidRDefault="009B02A8" w:rsidP="000C6F74">
            <w:pPr>
              <w:outlineLvl w:val="3"/>
              <w:rPr>
                <w:b/>
                <w:color w:val="000000" w:themeColor="text1"/>
                <w:sz w:val="18"/>
                <w:szCs w:val="18"/>
              </w:rPr>
            </w:pPr>
            <w:r w:rsidRPr="009B02A8">
              <w:rPr>
                <w:b/>
                <w:sz w:val="18"/>
                <w:szCs w:val="18"/>
              </w:rPr>
              <w:t xml:space="preserve">§170.207 (b)(3) </w:t>
            </w:r>
          </w:p>
        </w:tc>
      </w:tr>
      <w:tr w:rsidR="009B02A8" w:rsidRPr="00E074CB" w:rsidTr="000C6F74">
        <w:sdt>
          <w:sdtPr>
            <w:rPr>
              <w:sz w:val="18"/>
              <w:szCs w:val="18"/>
            </w:rPr>
            <w:id w:val="1992279599"/>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Procedures (Optional)</w:t>
            </w:r>
          </w:p>
        </w:tc>
        <w:tc>
          <w:tcPr>
            <w:tcW w:w="3305" w:type="dxa"/>
          </w:tcPr>
          <w:p w:rsidR="009B02A8" w:rsidRPr="009B02A8" w:rsidRDefault="009B02A8" w:rsidP="000C6F74">
            <w:pPr>
              <w:outlineLvl w:val="3"/>
              <w:rPr>
                <w:b/>
                <w:color w:val="000000" w:themeColor="text1"/>
                <w:sz w:val="18"/>
                <w:szCs w:val="18"/>
              </w:rPr>
            </w:pPr>
            <w:r w:rsidRPr="009B02A8">
              <w:rPr>
                <w:b/>
                <w:sz w:val="18"/>
                <w:szCs w:val="18"/>
              </w:rPr>
              <w:t xml:space="preserve">§170.207 (b)(4) </w:t>
            </w:r>
          </w:p>
        </w:tc>
      </w:tr>
      <w:tr w:rsidR="009B02A8" w:rsidRPr="00E074CB" w:rsidTr="000C6F74">
        <w:sdt>
          <w:sdtPr>
            <w:rPr>
              <w:sz w:val="18"/>
              <w:szCs w:val="18"/>
            </w:rPr>
            <w:id w:val="1705131458"/>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D9D9D9" w:themeColor="background1" w:themeShade="D9"/>
                <w:sz w:val="18"/>
                <w:szCs w:val="18"/>
              </w:rPr>
            </w:pPr>
            <w:r w:rsidRPr="009B02A8">
              <w:rPr>
                <w:color w:val="000000" w:themeColor="text1"/>
                <w:sz w:val="18"/>
                <w:szCs w:val="18"/>
              </w:rPr>
              <w:t>Care Team Member(s)</w:t>
            </w:r>
          </w:p>
        </w:tc>
        <w:tc>
          <w:tcPr>
            <w:tcW w:w="3305" w:type="dxa"/>
          </w:tcPr>
          <w:p w:rsidR="009B02A8" w:rsidRPr="009B02A8" w:rsidRDefault="009B02A8" w:rsidP="000C6F74">
            <w:pPr>
              <w:rPr>
                <w:b/>
                <w:color w:val="000000" w:themeColor="text1"/>
                <w:sz w:val="18"/>
                <w:szCs w:val="18"/>
              </w:rPr>
            </w:pPr>
            <w:r w:rsidRPr="009B02A8">
              <w:rPr>
                <w:b/>
                <w:sz w:val="18"/>
                <w:szCs w:val="18"/>
              </w:rPr>
              <w:t>&lt;Not applicable&gt;</w:t>
            </w:r>
          </w:p>
        </w:tc>
      </w:tr>
      <w:tr w:rsidR="009B02A8" w:rsidRPr="00E074CB" w:rsidTr="000C6F74">
        <w:sdt>
          <w:sdtPr>
            <w:rPr>
              <w:sz w:val="18"/>
              <w:szCs w:val="18"/>
            </w:rPr>
            <w:id w:val="-1801295838"/>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Immunizations</w:t>
            </w:r>
          </w:p>
        </w:tc>
        <w:tc>
          <w:tcPr>
            <w:tcW w:w="3305" w:type="dxa"/>
          </w:tcPr>
          <w:p w:rsidR="009B02A8" w:rsidRPr="009B02A8" w:rsidRDefault="009B02A8" w:rsidP="000C6F74">
            <w:pPr>
              <w:outlineLvl w:val="3"/>
              <w:rPr>
                <w:b/>
                <w:color w:val="000000" w:themeColor="text1"/>
                <w:sz w:val="18"/>
                <w:szCs w:val="18"/>
              </w:rPr>
            </w:pPr>
            <w:r w:rsidRPr="009B02A8">
              <w:rPr>
                <w:b/>
                <w:sz w:val="18"/>
                <w:szCs w:val="18"/>
              </w:rPr>
              <w:t>§170.207 (e)(3), §170.207 (e)(4)</w:t>
            </w:r>
          </w:p>
        </w:tc>
      </w:tr>
      <w:tr w:rsidR="009B02A8" w:rsidRPr="0017610B" w:rsidTr="000C6F74">
        <w:sdt>
          <w:sdtPr>
            <w:rPr>
              <w:sz w:val="18"/>
              <w:szCs w:val="18"/>
            </w:rPr>
            <w:id w:val="1265490044"/>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3305" w:type="dxa"/>
          </w:tcPr>
          <w:p w:rsidR="009B02A8" w:rsidRPr="009B02A8" w:rsidRDefault="009B02A8" w:rsidP="000C6F74">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9B02A8" w:rsidRPr="00F247E9" w:rsidTr="000C6F74">
        <w:sdt>
          <w:sdtPr>
            <w:rPr>
              <w:sz w:val="18"/>
              <w:szCs w:val="18"/>
            </w:rPr>
            <w:id w:val="1694873295"/>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Assessment and Plan of Treatment</w:t>
            </w:r>
          </w:p>
        </w:tc>
        <w:tc>
          <w:tcPr>
            <w:tcW w:w="3305" w:type="dxa"/>
          </w:tcPr>
          <w:p w:rsidR="009B02A8" w:rsidRPr="009B02A8" w:rsidRDefault="009B02A8" w:rsidP="000C6F74">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9B02A8" w:rsidRPr="009B02A8" w:rsidRDefault="009B02A8" w:rsidP="000C6F74">
            <w:pPr>
              <w:rPr>
                <w:color w:val="000000" w:themeColor="text1"/>
                <w:sz w:val="18"/>
                <w:szCs w:val="18"/>
              </w:rPr>
            </w:pPr>
            <w:r w:rsidRPr="009B02A8">
              <w:rPr>
                <w:b/>
                <w:color w:val="000000" w:themeColor="text1"/>
                <w:sz w:val="18"/>
                <w:szCs w:val="18"/>
              </w:rPr>
              <w:t>In accordance with the “Assessment Section (V2)” and “Plan of Treatment Section (V2)”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w:t>
            </w:r>
          </w:p>
        </w:tc>
      </w:tr>
      <w:tr w:rsidR="009B02A8" w:rsidRPr="0017610B" w:rsidTr="000C6F74">
        <w:sdt>
          <w:sdtPr>
            <w:rPr>
              <w:sz w:val="18"/>
              <w:szCs w:val="18"/>
            </w:rPr>
            <w:id w:val="-1892019760"/>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Goals</w:t>
            </w:r>
          </w:p>
        </w:tc>
        <w:tc>
          <w:tcPr>
            <w:tcW w:w="3305" w:type="dxa"/>
          </w:tcPr>
          <w:p w:rsidR="009B02A8" w:rsidRPr="009B02A8" w:rsidRDefault="009B02A8" w:rsidP="000C6F74">
            <w:pPr>
              <w:rPr>
                <w:b/>
                <w:color w:val="000000" w:themeColor="text1"/>
                <w:sz w:val="18"/>
                <w:szCs w:val="18"/>
              </w:rPr>
            </w:pPr>
            <w:r w:rsidRPr="009B02A8">
              <w:rPr>
                <w:b/>
                <w:color w:val="000000" w:themeColor="text1"/>
                <w:sz w:val="18"/>
                <w:szCs w:val="18"/>
              </w:rPr>
              <w:t>Goals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9B02A8" w:rsidRPr="0017610B" w:rsidTr="000C6F74">
        <w:sdt>
          <w:sdtPr>
            <w:rPr>
              <w:sz w:val="18"/>
              <w:szCs w:val="18"/>
            </w:rPr>
            <w:id w:val="-1510823828"/>
            <w14:checkbox>
              <w14:checked w14:val="0"/>
              <w14:checkedState w14:val="2612" w14:font="Arial Unicode MS"/>
              <w14:uncheckedState w14:val="2610" w14:font="Arial Unicode MS"/>
            </w14:checkbox>
          </w:sdtPr>
          <w:sdtEndPr/>
          <w:sdtContent>
            <w:tc>
              <w:tcPr>
                <w:tcW w:w="445" w:type="dxa"/>
              </w:tcPr>
              <w:p w:rsidR="009B02A8" w:rsidRPr="009B02A8" w:rsidRDefault="009B02A8" w:rsidP="000C6F74">
                <w:pPr>
                  <w:rPr>
                    <w:sz w:val="18"/>
                    <w:szCs w:val="18"/>
                  </w:rPr>
                </w:pPr>
                <w:r w:rsidRPr="009B02A8">
                  <w:rPr>
                    <w:rFonts w:ascii="MS Gothic" w:eastAsia="MS Gothic" w:hAnsi="MS Gothic" w:hint="eastAsia"/>
                    <w:sz w:val="18"/>
                    <w:szCs w:val="18"/>
                  </w:rPr>
                  <w:t>☐</w:t>
                </w:r>
              </w:p>
            </w:tc>
          </w:sdtContent>
        </w:sdt>
        <w:tc>
          <w:tcPr>
            <w:tcW w:w="2044" w:type="dxa"/>
          </w:tcPr>
          <w:p w:rsidR="009B02A8" w:rsidRPr="009B02A8" w:rsidRDefault="009B02A8" w:rsidP="000C6F74">
            <w:pPr>
              <w:spacing w:line="360" w:lineRule="auto"/>
              <w:rPr>
                <w:color w:val="000000" w:themeColor="text1"/>
                <w:sz w:val="18"/>
                <w:szCs w:val="18"/>
              </w:rPr>
            </w:pPr>
          </w:p>
        </w:tc>
        <w:tc>
          <w:tcPr>
            <w:tcW w:w="2836" w:type="dxa"/>
          </w:tcPr>
          <w:p w:rsidR="009B02A8" w:rsidRPr="009B02A8" w:rsidRDefault="009B02A8" w:rsidP="000C6F74">
            <w:pPr>
              <w:spacing w:line="360" w:lineRule="auto"/>
              <w:rPr>
                <w:color w:val="000000" w:themeColor="text1"/>
                <w:sz w:val="18"/>
                <w:szCs w:val="18"/>
              </w:rPr>
            </w:pPr>
            <w:r w:rsidRPr="009B02A8">
              <w:rPr>
                <w:color w:val="000000" w:themeColor="text1"/>
                <w:sz w:val="18"/>
                <w:szCs w:val="18"/>
              </w:rPr>
              <w:t>Health Concerns</w:t>
            </w:r>
          </w:p>
        </w:tc>
        <w:tc>
          <w:tcPr>
            <w:tcW w:w="3305" w:type="dxa"/>
          </w:tcPr>
          <w:p w:rsidR="009B02A8" w:rsidRPr="009B02A8" w:rsidRDefault="009B02A8" w:rsidP="008A4299">
            <w:pPr>
              <w:rPr>
                <w:b/>
                <w:color w:val="000000" w:themeColor="text1"/>
                <w:sz w:val="18"/>
                <w:szCs w:val="18"/>
              </w:rPr>
            </w:pPr>
            <w:r w:rsidRPr="009B02A8">
              <w:rPr>
                <w:b/>
                <w:color w:val="000000" w:themeColor="text1"/>
                <w:sz w:val="18"/>
                <w:szCs w:val="18"/>
              </w:rPr>
              <w:t>In accordance with the “Health Concerns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7F3D6A" w:rsidRPr="009B02A8" w:rsidTr="000C6F74">
        <w:tc>
          <w:tcPr>
            <w:tcW w:w="445" w:type="dxa"/>
            <w:shd w:val="clear" w:color="auto" w:fill="DBE5F1" w:themeFill="accent1" w:themeFillTint="33"/>
          </w:tcPr>
          <w:p w:rsidR="007F3D6A" w:rsidRPr="009B02A8" w:rsidRDefault="007F3D6A" w:rsidP="000C6F74">
            <w:pPr>
              <w:rPr>
                <w:rFonts w:ascii="Leelawadee UI" w:hAnsi="Leelawadee UI" w:cs="Leelawadee UI"/>
                <w:b/>
                <w:sz w:val="18"/>
                <w:szCs w:val="18"/>
              </w:rPr>
            </w:pPr>
          </w:p>
        </w:tc>
        <w:tc>
          <w:tcPr>
            <w:tcW w:w="2044" w:type="dxa"/>
            <w:shd w:val="clear" w:color="auto" w:fill="DBE5F1" w:themeFill="accent1" w:themeFillTint="33"/>
          </w:tcPr>
          <w:p w:rsidR="007F3D6A" w:rsidRPr="009B02A8" w:rsidRDefault="007F3D6A" w:rsidP="000C6F74">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7F3D6A" w:rsidRPr="009B02A8" w:rsidRDefault="007F3D6A" w:rsidP="000C6F74">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7F3D6A" w:rsidRPr="009B02A8" w:rsidRDefault="007F3D6A" w:rsidP="000C6F74">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7F3D6A" w:rsidRPr="009B02A8" w:rsidTr="000C6F74">
        <w:sdt>
          <w:sdtPr>
            <w:rPr>
              <w:sz w:val="18"/>
              <w:szCs w:val="18"/>
            </w:rPr>
            <w:id w:val="893313460"/>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7F3D6A" w:rsidP="000C6F74">
            <w:pPr>
              <w:spacing w:line="360" w:lineRule="auto"/>
              <w:rPr>
                <w:color w:val="000000" w:themeColor="text1"/>
                <w:sz w:val="18"/>
                <w:szCs w:val="18"/>
              </w:rPr>
            </w:pPr>
            <w:r>
              <w:rPr>
                <w:color w:val="000000" w:themeColor="text1"/>
                <w:sz w:val="18"/>
                <w:szCs w:val="18"/>
              </w:rPr>
              <w:t>Encounter diagnoses</w:t>
            </w:r>
          </w:p>
        </w:tc>
        <w:tc>
          <w:tcPr>
            <w:tcW w:w="3305" w:type="dxa"/>
          </w:tcPr>
          <w:p w:rsidR="007F3D6A" w:rsidRPr="009B02A8" w:rsidRDefault="007F3D6A" w:rsidP="000C6F74">
            <w:pPr>
              <w:outlineLvl w:val="3"/>
              <w:rPr>
                <w:b/>
                <w:sz w:val="18"/>
                <w:szCs w:val="18"/>
              </w:rPr>
            </w:pPr>
            <w:r w:rsidRPr="009B02A8">
              <w:rPr>
                <w:b/>
                <w:sz w:val="18"/>
                <w:szCs w:val="18"/>
              </w:rPr>
              <w:t xml:space="preserve">§170.207 </w:t>
            </w:r>
            <w:r>
              <w:rPr>
                <w:b/>
                <w:sz w:val="18"/>
                <w:szCs w:val="18"/>
              </w:rPr>
              <w:t>(</w:t>
            </w:r>
            <w:proofErr w:type="spellStart"/>
            <w:r>
              <w:rPr>
                <w:b/>
                <w:sz w:val="18"/>
                <w:szCs w:val="18"/>
              </w:rPr>
              <w:t>i</w:t>
            </w:r>
            <w:proofErr w:type="spellEnd"/>
            <w:r>
              <w:rPr>
                <w:b/>
                <w:sz w:val="18"/>
                <w:szCs w:val="18"/>
              </w:rPr>
              <w:t xml:space="preserve">) or </w:t>
            </w:r>
            <w:r w:rsidRPr="009B02A8">
              <w:rPr>
                <w:b/>
                <w:sz w:val="18"/>
                <w:szCs w:val="18"/>
              </w:rPr>
              <w:t xml:space="preserve">§170.207 </w:t>
            </w:r>
            <w:r>
              <w:rPr>
                <w:b/>
                <w:sz w:val="18"/>
                <w:szCs w:val="18"/>
              </w:rPr>
              <w:t>(a)(4</w:t>
            </w:r>
            <w:r w:rsidRPr="009B02A8">
              <w:rPr>
                <w:b/>
                <w:sz w:val="18"/>
                <w:szCs w:val="18"/>
              </w:rPr>
              <w:t>)</w:t>
            </w:r>
          </w:p>
        </w:tc>
      </w:tr>
      <w:tr w:rsidR="007F3D6A" w:rsidRPr="009B02A8" w:rsidTr="000C6F74">
        <w:sdt>
          <w:sdtPr>
            <w:rPr>
              <w:sz w:val="18"/>
              <w:szCs w:val="18"/>
            </w:rPr>
            <w:id w:val="850689453"/>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7F3D6A" w:rsidP="000C6F74">
            <w:pPr>
              <w:spacing w:line="360" w:lineRule="auto"/>
              <w:rPr>
                <w:color w:val="000000" w:themeColor="text1"/>
                <w:sz w:val="18"/>
                <w:szCs w:val="18"/>
              </w:rPr>
            </w:pPr>
            <w:r>
              <w:rPr>
                <w:color w:val="000000" w:themeColor="text1"/>
                <w:sz w:val="18"/>
                <w:szCs w:val="18"/>
              </w:rPr>
              <w:t>Cognitive Status</w:t>
            </w:r>
          </w:p>
        </w:tc>
        <w:tc>
          <w:tcPr>
            <w:tcW w:w="3305" w:type="dxa"/>
          </w:tcPr>
          <w:p w:rsidR="007F3D6A" w:rsidRPr="009B02A8" w:rsidRDefault="007F3D6A" w:rsidP="000C6F74">
            <w:pPr>
              <w:outlineLvl w:val="3"/>
              <w:rPr>
                <w:b/>
                <w:color w:val="000000" w:themeColor="text1"/>
                <w:sz w:val="18"/>
                <w:szCs w:val="18"/>
              </w:rPr>
            </w:pPr>
            <w:r w:rsidRPr="007F3D6A">
              <w:rPr>
                <w:b/>
                <w:sz w:val="18"/>
                <w:szCs w:val="18"/>
              </w:rPr>
              <w:t>&lt;Not applicable&gt;</w:t>
            </w:r>
          </w:p>
        </w:tc>
      </w:tr>
      <w:tr w:rsidR="007F3D6A" w:rsidRPr="009B02A8" w:rsidTr="000C6F74">
        <w:sdt>
          <w:sdtPr>
            <w:rPr>
              <w:sz w:val="18"/>
              <w:szCs w:val="18"/>
            </w:rPr>
            <w:id w:val="-1587600369"/>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7F3D6A" w:rsidP="000C6F74">
            <w:pPr>
              <w:spacing w:line="360" w:lineRule="auto"/>
              <w:rPr>
                <w:color w:val="000000" w:themeColor="text1"/>
                <w:sz w:val="18"/>
                <w:szCs w:val="18"/>
              </w:rPr>
            </w:pPr>
            <w:r>
              <w:rPr>
                <w:color w:val="000000" w:themeColor="text1"/>
                <w:sz w:val="18"/>
                <w:szCs w:val="18"/>
              </w:rPr>
              <w:t>Functional Status</w:t>
            </w:r>
            <w:r w:rsidRPr="009B02A8">
              <w:rPr>
                <w:color w:val="000000" w:themeColor="text1"/>
                <w:sz w:val="18"/>
                <w:szCs w:val="18"/>
              </w:rPr>
              <w:t xml:space="preserve"> </w:t>
            </w:r>
          </w:p>
        </w:tc>
        <w:tc>
          <w:tcPr>
            <w:tcW w:w="3305" w:type="dxa"/>
          </w:tcPr>
          <w:p w:rsidR="007F3D6A" w:rsidRPr="009B02A8" w:rsidRDefault="007F3D6A" w:rsidP="000C6F74">
            <w:pPr>
              <w:outlineLvl w:val="3"/>
              <w:rPr>
                <w:b/>
                <w:sz w:val="18"/>
                <w:szCs w:val="18"/>
              </w:rPr>
            </w:pPr>
            <w:r w:rsidRPr="009B02A8">
              <w:rPr>
                <w:b/>
                <w:sz w:val="18"/>
                <w:szCs w:val="18"/>
              </w:rPr>
              <w:t>&lt;Not applicable&gt;</w:t>
            </w:r>
          </w:p>
        </w:tc>
      </w:tr>
      <w:tr w:rsidR="000B19DE" w:rsidRPr="009B02A8" w:rsidTr="000C6F74">
        <w:tc>
          <w:tcPr>
            <w:tcW w:w="8630" w:type="dxa"/>
            <w:gridSpan w:val="4"/>
          </w:tcPr>
          <w:p w:rsidR="000B19DE" w:rsidRPr="000B19DE" w:rsidRDefault="000B19DE" w:rsidP="000B19DE">
            <w:pPr>
              <w:jc w:val="center"/>
              <w:outlineLvl w:val="3"/>
              <w:rPr>
                <w:rFonts w:ascii="Leelawadee" w:hAnsi="Leelawadee" w:cs="Leelawadee"/>
                <w:b/>
                <w:sz w:val="18"/>
                <w:szCs w:val="18"/>
              </w:rPr>
            </w:pPr>
            <w:r w:rsidRPr="000B19DE">
              <w:rPr>
                <w:rFonts w:ascii="Leelawadee" w:eastAsia="MS Gothic" w:hAnsi="Leelawadee" w:cs="Leelawadee"/>
                <w:b/>
                <w:sz w:val="18"/>
                <w:szCs w:val="18"/>
              </w:rPr>
              <w:t>AMBULATORY ONLY</w:t>
            </w:r>
          </w:p>
        </w:tc>
      </w:tr>
      <w:tr w:rsidR="007F3D6A" w:rsidRPr="009B02A8" w:rsidTr="000C6F74">
        <w:tc>
          <w:tcPr>
            <w:tcW w:w="445" w:type="dxa"/>
            <w:shd w:val="clear" w:color="auto" w:fill="DBE5F1" w:themeFill="accent1" w:themeFillTint="33"/>
          </w:tcPr>
          <w:p w:rsidR="007F3D6A" w:rsidRPr="009B02A8" w:rsidRDefault="007F3D6A" w:rsidP="000C6F74">
            <w:pPr>
              <w:rPr>
                <w:rFonts w:ascii="Leelawadee UI" w:hAnsi="Leelawadee UI" w:cs="Leelawadee UI"/>
                <w:b/>
                <w:sz w:val="18"/>
                <w:szCs w:val="18"/>
              </w:rPr>
            </w:pPr>
          </w:p>
        </w:tc>
        <w:tc>
          <w:tcPr>
            <w:tcW w:w="2044" w:type="dxa"/>
            <w:shd w:val="clear" w:color="auto" w:fill="DBE5F1" w:themeFill="accent1" w:themeFillTint="33"/>
          </w:tcPr>
          <w:p w:rsidR="007F3D6A" w:rsidRPr="009B02A8" w:rsidRDefault="007F3D6A" w:rsidP="000C6F74">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7F3D6A" w:rsidRPr="009B02A8" w:rsidRDefault="007F3D6A" w:rsidP="000C6F74">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7F3D6A" w:rsidRPr="009B02A8" w:rsidRDefault="007F3D6A" w:rsidP="000C6F74">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7F3D6A" w:rsidRPr="009B02A8" w:rsidTr="000C6F74">
        <w:sdt>
          <w:sdtPr>
            <w:rPr>
              <w:sz w:val="18"/>
              <w:szCs w:val="18"/>
            </w:rPr>
            <w:id w:val="-311494579"/>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0B19DE" w:rsidP="000C6F74">
            <w:pPr>
              <w:spacing w:line="360" w:lineRule="auto"/>
              <w:rPr>
                <w:color w:val="000000" w:themeColor="text1"/>
                <w:sz w:val="18"/>
                <w:szCs w:val="18"/>
              </w:rPr>
            </w:pPr>
            <w:r>
              <w:rPr>
                <w:color w:val="000000" w:themeColor="text1"/>
                <w:sz w:val="18"/>
                <w:szCs w:val="18"/>
              </w:rPr>
              <w:t>Reason for referral</w:t>
            </w:r>
          </w:p>
        </w:tc>
        <w:tc>
          <w:tcPr>
            <w:tcW w:w="3305" w:type="dxa"/>
          </w:tcPr>
          <w:p w:rsidR="007F3D6A" w:rsidRPr="009B02A8" w:rsidRDefault="000B19DE" w:rsidP="000C6F74">
            <w:pPr>
              <w:outlineLvl w:val="3"/>
              <w:rPr>
                <w:b/>
                <w:sz w:val="18"/>
                <w:szCs w:val="18"/>
              </w:rPr>
            </w:pPr>
            <w:r w:rsidRPr="000B19DE">
              <w:rPr>
                <w:b/>
                <w:sz w:val="18"/>
                <w:szCs w:val="18"/>
              </w:rPr>
              <w:t>&lt;Not applicable&gt;</w:t>
            </w:r>
          </w:p>
        </w:tc>
      </w:tr>
      <w:tr w:rsidR="007F3D6A" w:rsidRPr="009B02A8" w:rsidTr="000C6F74">
        <w:sdt>
          <w:sdtPr>
            <w:rPr>
              <w:sz w:val="18"/>
              <w:szCs w:val="18"/>
            </w:rPr>
            <w:id w:val="-31572321"/>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0B19DE" w:rsidP="008A4299">
            <w:pPr>
              <w:spacing w:line="360" w:lineRule="auto"/>
              <w:rPr>
                <w:color w:val="000000" w:themeColor="text1"/>
                <w:sz w:val="18"/>
                <w:szCs w:val="18"/>
              </w:rPr>
            </w:pPr>
            <w:r>
              <w:rPr>
                <w:color w:val="000000" w:themeColor="text1"/>
                <w:sz w:val="18"/>
                <w:szCs w:val="18"/>
              </w:rPr>
              <w:t xml:space="preserve">Referring or transitioning </w:t>
            </w:r>
            <w:r w:rsidR="008A4299">
              <w:rPr>
                <w:color w:val="000000" w:themeColor="text1"/>
                <w:sz w:val="18"/>
                <w:szCs w:val="18"/>
              </w:rPr>
              <w:t>p</w:t>
            </w:r>
            <w:r>
              <w:rPr>
                <w:color w:val="000000" w:themeColor="text1"/>
                <w:sz w:val="18"/>
                <w:szCs w:val="18"/>
              </w:rPr>
              <w:t>rovider’s name and office contact information</w:t>
            </w:r>
          </w:p>
        </w:tc>
        <w:tc>
          <w:tcPr>
            <w:tcW w:w="3305" w:type="dxa"/>
          </w:tcPr>
          <w:p w:rsidR="007F3D6A" w:rsidRPr="009B02A8" w:rsidRDefault="007F3D6A" w:rsidP="000C6F74">
            <w:pPr>
              <w:outlineLvl w:val="3"/>
              <w:rPr>
                <w:b/>
                <w:color w:val="000000" w:themeColor="text1"/>
                <w:sz w:val="18"/>
                <w:szCs w:val="18"/>
              </w:rPr>
            </w:pPr>
            <w:r w:rsidRPr="007F3D6A">
              <w:rPr>
                <w:b/>
                <w:sz w:val="18"/>
                <w:szCs w:val="18"/>
              </w:rPr>
              <w:t>&lt;Not applicable&gt;</w:t>
            </w:r>
          </w:p>
        </w:tc>
      </w:tr>
      <w:tr w:rsidR="000B19DE" w:rsidRPr="000B19DE" w:rsidTr="000C6F74">
        <w:tc>
          <w:tcPr>
            <w:tcW w:w="8630" w:type="dxa"/>
            <w:gridSpan w:val="4"/>
          </w:tcPr>
          <w:p w:rsidR="000B19DE" w:rsidRPr="000B19DE" w:rsidRDefault="000B19DE" w:rsidP="000C6F74">
            <w:pPr>
              <w:jc w:val="center"/>
              <w:outlineLvl w:val="3"/>
              <w:rPr>
                <w:rFonts w:ascii="Leelawadee" w:hAnsi="Leelawadee" w:cs="Leelawadee"/>
                <w:b/>
                <w:sz w:val="18"/>
                <w:szCs w:val="18"/>
              </w:rPr>
            </w:pPr>
            <w:r>
              <w:rPr>
                <w:rFonts w:ascii="Leelawadee" w:eastAsia="MS Gothic" w:hAnsi="Leelawadee" w:cs="Leelawadee"/>
                <w:b/>
                <w:sz w:val="18"/>
                <w:szCs w:val="18"/>
              </w:rPr>
              <w:t>INPATIENT</w:t>
            </w:r>
            <w:r w:rsidRPr="000B19DE">
              <w:rPr>
                <w:rFonts w:ascii="Leelawadee" w:eastAsia="MS Gothic" w:hAnsi="Leelawadee" w:cs="Leelawadee"/>
                <w:b/>
                <w:sz w:val="18"/>
                <w:szCs w:val="18"/>
              </w:rPr>
              <w:t xml:space="preserve"> ONLY</w:t>
            </w:r>
          </w:p>
        </w:tc>
      </w:tr>
      <w:tr w:rsidR="00BF6B3C" w:rsidRPr="009B02A8" w:rsidTr="000C6F74">
        <w:tc>
          <w:tcPr>
            <w:tcW w:w="445" w:type="dxa"/>
            <w:shd w:val="clear" w:color="auto" w:fill="DBE5F1" w:themeFill="accent1" w:themeFillTint="33"/>
          </w:tcPr>
          <w:p w:rsidR="00BF6B3C" w:rsidRPr="009B02A8" w:rsidRDefault="00BF6B3C" w:rsidP="000C6F74">
            <w:pPr>
              <w:rPr>
                <w:rFonts w:ascii="Leelawadee UI" w:hAnsi="Leelawadee UI" w:cs="Leelawadee UI"/>
                <w:b/>
                <w:sz w:val="18"/>
                <w:szCs w:val="18"/>
              </w:rPr>
            </w:pPr>
          </w:p>
        </w:tc>
        <w:tc>
          <w:tcPr>
            <w:tcW w:w="2044" w:type="dxa"/>
            <w:shd w:val="clear" w:color="auto" w:fill="DBE5F1" w:themeFill="accent1" w:themeFillTint="33"/>
          </w:tcPr>
          <w:p w:rsidR="00BF6B3C" w:rsidRPr="009B02A8" w:rsidRDefault="00BF6B3C" w:rsidP="000C6F74">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F6B3C" w:rsidRPr="009B02A8" w:rsidRDefault="00BF6B3C" w:rsidP="000C6F74">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BF6B3C" w:rsidRPr="009B02A8" w:rsidRDefault="00BF6B3C" w:rsidP="000C6F74">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7F3D6A" w:rsidRPr="009B02A8" w:rsidTr="000C6F74">
        <w:sdt>
          <w:sdtPr>
            <w:rPr>
              <w:sz w:val="18"/>
              <w:szCs w:val="18"/>
            </w:rPr>
            <w:id w:val="-1420862170"/>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0B19DE" w:rsidP="000C6F74">
            <w:pPr>
              <w:spacing w:line="360" w:lineRule="auto"/>
              <w:rPr>
                <w:color w:val="000000" w:themeColor="text1"/>
                <w:sz w:val="18"/>
                <w:szCs w:val="18"/>
              </w:rPr>
            </w:pPr>
            <w:r>
              <w:rPr>
                <w:color w:val="000000" w:themeColor="text1"/>
                <w:sz w:val="18"/>
                <w:szCs w:val="18"/>
              </w:rPr>
              <w:t>Discharge Instructions</w:t>
            </w:r>
            <w:r w:rsidR="007F3D6A" w:rsidRPr="009B02A8">
              <w:rPr>
                <w:color w:val="000000" w:themeColor="text1"/>
                <w:sz w:val="18"/>
                <w:szCs w:val="18"/>
              </w:rPr>
              <w:t xml:space="preserve"> </w:t>
            </w:r>
          </w:p>
        </w:tc>
        <w:tc>
          <w:tcPr>
            <w:tcW w:w="3305" w:type="dxa"/>
          </w:tcPr>
          <w:p w:rsidR="007F3D6A" w:rsidRPr="009B02A8" w:rsidRDefault="007F3D6A" w:rsidP="000C6F74">
            <w:pPr>
              <w:outlineLvl w:val="3"/>
              <w:rPr>
                <w:b/>
                <w:sz w:val="18"/>
                <w:szCs w:val="18"/>
              </w:rPr>
            </w:pPr>
            <w:r w:rsidRPr="009B02A8">
              <w:rPr>
                <w:b/>
                <w:sz w:val="18"/>
                <w:szCs w:val="18"/>
              </w:rPr>
              <w:t>&lt;Not applicable&gt;</w:t>
            </w:r>
          </w:p>
        </w:tc>
      </w:tr>
      <w:tr w:rsidR="007F3D6A" w:rsidRPr="009B02A8" w:rsidTr="000C6F74">
        <w:sdt>
          <w:sdtPr>
            <w:rPr>
              <w:sz w:val="18"/>
              <w:szCs w:val="18"/>
            </w:rPr>
            <w:id w:val="-578910690"/>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7F3D6A" w:rsidP="000C6F74">
            <w:pPr>
              <w:spacing w:line="360" w:lineRule="auto"/>
              <w:rPr>
                <w:color w:val="000000" w:themeColor="text1"/>
                <w:sz w:val="18"/>
                <w:szCs w:val="18"/>
              </w:rPr>
            </w:pPr>
            <w:r>
              <w:rPr>
                <w:color w:val="000000" w:themeColor="text1"/>
                <w:sz w:val="18"/>
                <w:szCs w:val="18"/>
              </w:rPr>
              <w:t>Patient matching</w:t>
            </w:r>
          </w:p>
        </w:tc>
        <w:tc>
          <w:tcPr>
            <w:tcW w:w="3305" w:type="dxa"/>
          </w:tcPr>
          <w:p w:rsidR="007F3D6A" w:rsidRPr="009B02A8" w:rsidRDefault="007F3D6A" w:rsidP="000C6F74">
            <w:pPr>
              <w:outlineLvl w:val="3"/>
              <w:rPr>
                <w:b/>
                <w:sz w:val="18"/>
                <w:szCs w:val="18"/>
              </w:rPr>
            </w:pPr>
            <w:r w:rsidRPr="009B02A8">
              <w:rPr>
                <w:b/>
                <w:sz w:val="18"/>
                <w:szCs w:val="18"/>
              </w:rPr>
              <w:t xml:space="preserve">§170.207 (f)(1) </w:t>
            </w:r>
            <w:r w:rsidRPr="009B02A8">
              <w:rPr>
                <w:sz w:val="18"/>
                <w:szCs w:val="18"/>
              </w:rPr>
              <w:t xml:space="preserve">Mapped to </w:t>
            </w:r>
            <w:r w:rsidRPr="009B02A8">
              <w:rPr>
                <w:b/>
                <w:sz w:val="18"/>
                <w:szCs w:val="18"/>
              </w:rPr>
              <w:t>§170.207 (f)(2)</w:t>
            </w:r>
          </w:p>
          <w:p w:rsidR="007F3D6A" w:rsidRPr="009B02A8" w:rsidRDefault="007F3D6A" w:rsidP="000C6F74">
            <w:pPr>
              <w:outlineLvl w:val="3"/>
              <w:rPr>
                <w:b/>
                <w:color w:val="000000" w:themeColor="text1"/>
                <w:sz w:val="18"/>
                <w:szCs w:val="18"/>
              </w:rPr>
            </w:pPr>
            <w:r w:rsidRPr="009B02A8">
              <w:rPr>
                <w:b/>
                <w:sz w:val="18"/>
                <w:szCs w:val="18"/>
              </w:rPr>
              <w:t xml:space="preserve">§170.207 (f)(2) </w:t>
            </w:r>
          </w:p>
        </w:tc>
      </w:tr>
      <w:tr w:rsidR="00BF6B3C" w:rsidRPr="000B19DE" w:rsidTr="000C6F74">
        <w:tc>
          <w:tcPr>
            <w:tcW w:w="8630" w:type="dxa"/>
            <w:gridSpan w:val="4"/>
          </w:tcPr>
          <w:p w:rsidR="00BF6B3C" w:rsidRPr="000B19DE" w:rsidRDefault="00BF6B3C" w:rsidP="000C6F74">
            <w:pPr>
              <w:jc w:val="center"/>
              <w:outlineLvl w:val="3"/>
              <w:rPr>
                <w:rFonts w:ascii="Leelawadee" w:hAnsi="Leelawadee" w:cs="Leelawadee"/>
                <w:b/>
                <w:sz w:val="18"/>
                <w:szCs w:val="18"/>
              </w:rPr>
            </w:pPr>
            <w:r>
              <w:rPr>
                <w:rFonts w:ascii="Leelawadee" w:eastAsia="MS Gothic" w:hAnsi="Leelawadee" w:cs="Leelawadee"/>
                <w:b/>
                <w:sz w:val="18"/>
                <w:szCs w:val="18"/>
              </w:rPr>
              <w:t>PATIENT MATCHING</w:t>
            </w:r>
          </w:p>
        </w:tc>
      </w:tr>
      <w:tr w:rsidR="00BF6B3C" w:rsidRPr="009B02A8" w:rsidTr="000C6F74">
        <w:tc>
          <w:tcPr>
            <w:tcW w:w="445" w:type="dxa"/>
            <w:shd w:val="clear" w:color="auto" w:fill="DBE5F1" w:themeFill="accent1" w:themeFillTint="33"/>
          </w:tcPr>
          <w:p w:rsidR="00BF6B3C" w:rsidRPr="009B02A8" w:rsidRDefault="00BF6B3C" w:rsidP="000C6F74">
            <w:pPr>
              <w:rPr>
                <w:rFonts w:ascii="Leelawadee UI" w:hAnsi="Leelawadee UI" w:cs="Leelawadee UI"/>
                <w:b/>
                <w:sz w:val="18"/>
                <w:szCs w:val="18"/>
              </w:rPr>
            </w:pPr>
          </w:p>
        </w:tc>
        <w:tc>
          <w:tcPr>
            <w:tcW w:w="2044" w:type="dxa"/>
            <w:shd w:val="clear" w:color="auto" w:fill="DBE5F1" w:themeFill="accent1" w:themeFillTint="33"/>
          </w:tcPr>
          <w:p w:rsidR="00BF6B3C" w:rsidRPr="009B02A8" w:rsidRDefault="00BF6B3C" w:rsidP="000C6F74">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F6B3C" w:rsidRPr="009B02A8" w:rsidRDefault="00BF6B3C" w:rsidP="000C6F74">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BF6B3C" w:rsidRPr="009B02A8" w:rsidRDefault="00BF6B3C" w:rsidP="000C6F74">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7F3D6A" w:rsidRPr="009B02A8" w:rsidTr="000C6F74">
        <w:sdt>
          <w:sdtPr>
            <w:rPr>
              <w:sz w:val="18"/>
              <w:szCs w:val="18"/>
            </w:rPr>
            <w:id w:val="260655491"/>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BF6B3C" w:rsidP="000C6F74">
            <w:pPr>
              <w:spacing w:line="360" w:lineRule="auto"/>
              <w:rPr>
                <w:color w:val="000000" w:themeColor="text1"/>
                <w:sz w:val="18"/>
                <w:szCs w:val="18"/>
              </w:rPr>
            </w:pPr>
            <w:r>
              <w:rPr>
                <w:color w:val="000000" w:themeColor="text1"/>
                <w:sz w:val="18"/>
                <w:szCs w:val="18"/>
              </w:rPr>
              <w:t>First name</w:t>
            </w:r>
          </w:p>
        </w:tc>
        <w:tc>
          <w:tcPr>
            <w:tcW w:w="3305" w:type="dxa"/>
          </w:tcPr>
          <w:p w:rsidR="007F3D6A" w:rsidRPr="009B02A8" w:rsidRDefault="007F3D6A" w:rsidP="000C6F74">
            <w:pPr>
              <w:outlineLvl w:val="3"/>
              <w:rPr>
                <w:b/>
                <w:color w:val="000000" w:themeColor="text1"/>
                <w:sz w:val="18"/>
                <w:szCs w:val="18"/>
              </w:rPr>
            </w:pPr>
          </w:p>
        </w:tc>
      </w:tr>
      <w:tr w:rsidR="007F3D6A" w:rsidRPr="009B02A8" w:rsidTr="000C6F74">
        <w:sdt>
          <w:sdtPr>
            <w:rPr>
              <w:sz w:val="18"/>
              <w:szCs w:val="18"/>
            </w:rPr>
            <w:id w:val="-1999172524"/>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BF6B3C" w:rsidP="000C6F74">
            <w:pPr>
              <w:spacing w:line="360" w:lineRule="auto"/>
              <w:rPr>
                <w:color w:val="000000" w:themeColor="text1"/>
                <w:sz w:val="18"/>
                <w:szCs w:val="18"/>
              </w:rPr>
            </w:pPr>
            <w:r>
              <w:rPr>
                <w:color w:val="000000" w:themeColor="text1"/>
                <w:sz w:val="18"/>
                <w:szCs w:val="18"/>
              </w:rPr>
              <w:t>Last name</w:t>
            </w:r>
          </w:p>
        </w:tc>
        <w:tc>
          <w:tcPr>
            <w:tcW w:w="3305" w:type="dxa"/>
          </w:tcPr>
          <w:p w:rsidR="007F3D6A" w:rsidRPr="009B02A8" w:rsidRDefault="007F3D6A" w:rsidP="000C6F74">
            <w:pPr>
              <w:rPr>
                <w:b/>
                <w:color w:val="000000" w:themeColor="text1"/>
                <w:sz w:val="18"/>
                <w:szCs w:val="18"/>
              </w:rPr>
            </w:pPr>
          </w:p>
        </w:tc>
      </w:tr>
      <w:tr w:rsidR="007F3D6A" w:rsidRPr="009B02A8" w:rsidTr="000C6F74">
        <w:sdt>
          <w:sdtPr>
            <w:rPr>
              <w:sz w:val="18"/>
              <w:szCs w:val="18"/>
            </w:rPr>
            <w:id w:val="1062220915"/>
            <w14:checkbox>
              <w14:checked w14:val="0"/>
              <w14:checkedState w14:val="2612" w14:font="Arial Unicode MS"/>
              <w14:uncheckedState w14:val="2610" w14:font="Arial Unicode MS"/>
            </w14:checkbox>
          </w:sdtPr>
          <w:sdtEndPr/>
          <w:sdtContent>
            <w:tc>
              <w:tcPr>
                <w:tcW w:w="445" w:type="dxa"/>
              </w:tcPr>
              <w:p w:rsidR="007F3D6A" w:rsidRPr="009B02A8" w:rsidRDefault="007F3D6A" w:rsidP="000C6F74">
                <w:pPr>
                  <w:rPr>
                    <w:sz w:val="18"/>
                    <w:szCs w:val="18"/>
                  </w:rPr>
                </w:pPr>
                <w:r w:rsidRPr="009B02A8">
                  <w:rPr>
                    <w:rFonts w:ascii="MS Gothic" w:eastAsia="MS Gothic" w:hAnsi="MS Gothic" w:hint="eastAsia"/>
                    <w:sz w:val="18"/>
                    <w:szCs w:val="18"/>
                  </w:rPr>
                  <w:t>☐</w:t>
                </w:r>
              </w:p>
            </w:tc>
          </w:sdtContent>
        </w:sdt>
        <w:tc>
          <w:tcPr>
            <w:tcW w:w="2044" w:type="dxa"/>
          </w:tcPr>
          <w:p w:rsidR="007F3D6A" w:rsidRPr="009B02A8" w:rsidRDefault="007F3D6A" w:rsidP="000C6F74">
            <w:pPr>
              <w:spacing w:line="360" w:lineRule="auto"/>
              <w:rPr>
                <w:color w:val="000000" w:themeColor="text1"/>
                <w:sz w:val="18"/>
                <w:szCs w:val="18"/>
              </w:rPr>
            </w:pPr>
          </w:p>
        </w:tc>
        <w:tc>
          <w:tcPr>
            <w:tcW w:w="2836" w:type="dxa"/>
          </w:tcPr>
          <w:p w:rsidR="007F3D6A" w:rsidRPr="009B02A8" w:rsidRDefault="00BF6B3C" w:rsidP="000C6F74">
            <w:pPr>
              <w:spacing w:line="360" w:lineRule="auto"/>
              <w:rPr>
                <w:color w:val="000000" w:themeColor="text1"/>
                <w:sz w:val="18"/>
                <w:szCs w:val="18"/>
              </w:rPr>
            </w:pPr>
            <w:r>
              <w:rPr>
                <w:color w:val="000000" w:themeColor="text1"/>
                <w:sz w:val="18"/>
                <w:szCs w:val="18"/>
              </w:rPr>
              <w:t>Previous name</w:t>
            </w:r>
          </w:p>
        </w:tc>
        <w:tc>
          <w:tcPr>
            <w:tcW w:w="3305" w:type="dxa"/>
          </w:tcPr>
          <w:p w:rsidR="007F3D6A" w:rsidRPr="009B02A8" w:rsidRDefault="007F3D6A" w:rsidP="000C6F74">
            <w:pPr>
              <w:outlineLvl w:val="3"/>
              <w:rPr>
                <w:b/>
                <w:sz w:val="18"/>
                <w:szCs w:val="18"/>
              </w:rPr>
            </w:pPr>
          </w:p>
        </w:tc>
      </w:tr>
      <w:tr w:rsidR="00BF6B3C" w:rsidRPr="009B02A8" w:rsidTr="000C6F74">
        <w:sdt>
          <w:sdtPr>
            <w:rPr>
              <w:sz w:val="18"/>
              <w:szCs w:val="18"/>
            </w:rPr>
            <w:id w:val="4338967"/>
            <w14:checkbox>
              <w14:checked w14:val="0"/>
              <w14:checkedState w14:val="2612" w14:font="Arial Unicode MS"/>
              <w14:uncheckedState w14:val="2610" w14:font="Arial Unicode MS"/>
            </w14:checkbox>
          </w:sdtPr>
          <w:sdtEndPr/>
          <w:sdtContent>
            <w:tc>
              <w:tcPr>
                <w:tcW w:w="445" w:type="dxa"/>
              </w:tcPr>
              <w:p w:rsidR="00BF6B3C" w:rsidRPr="009B02A8" w:rsidRDefault="00BF6B3C" w:rsidP="000C6F74">
                <w:pPr>
                  <w:rPr>
                    <w:sz w:val="18"/>
                    <w:szCs w:val="18"/>
                  </w:rPr>
                </w:pPr>
                <w:r w:rsidRPr="009B02A8">
                  <w:rPr>
                    <w:rFonts w:ascii="MS Gothic" w:eastAsia="MS Gothic" w:hAnsi="MS Gothic" w:hint="eastAsia"/>
                    <w:sz w:val="18"/>
                    <w:szCs w:val="18"/>
                  </w:rPr>
                  <w:t>☐</w:t>
                </w:r>
              </w:p>
            </w:tc>
          </w:sdtContent>
        </w:sdt>
        <w:tc>
          <w:tcPr>
            <w:tcW w:w="2044" w:type="dxa"/>
          </w:tcPr>
          <w:p w:rsidR="00BF6B3C" w:rsidRPr="009B02A8" w:rsidRDefault="00BF6B3C" w:rsidP="000C6F74">
            <w:pPr>
              <w:spacing w:line="360" w:lineRule="auto"/>
              <w:rPr>
                <w:color w:val="000000" w:themeColor="text1"/>
                <w:sz w:val="18"/>
                <w:szCs w:val="18"/>
              </w:rPr>
            </w:pPr>
          </w:p>
        </w:tc>
        <w:tc>
          <w:tcPr>
            <w:tcW w:w="2836" w:type="dxa"/>
          </w:tcPr>
          <w:p w:rsidR="00BF6B3C" w:rsidRPr="009B02A8" w:rsidRDefault="00BF6B3C" w:rsidP="000C6F74">
            <w:pPr>
              <w:spacing w:line="360" w:lineRule="auto"/>
              <w:rPr>
                <w:color w:val="000000" w:themeColor="text1"/>
                <w:sz w:val="18"/>
                <w:szCs w:val="18"/>
              </w:rPr>
            </w:pPr>
            <w:r>
              <w:rPr>
                <w:color w:val="000000" w:themeColor="text1"/>
                <w:sz w:val="18"/>
                <w:szCs w:val="18"/>
              </w:rPr>
              <w:t>Middle name (including middle initial)</w:t>
            </w:r>
          </w:p>
        </w:tc>
        <w:tc>
          <w:tcPr>
            <w:tcW w:w="3305" w:type="dxa"/>
          </w:tcPr>
          <w:p w:rsidR="00BF6B3C" w:rsidRPr="009B02A8" w:rsidRDefault="00BF6B3C" w:rsidP="000C6F74">
            <w:pPr>
              <w:outlineLvl w:val="3"/>
              <w:rPr>
                <w:b/>
                <w:color w:val="000000" w:themeColor="text1"/>
                <w:sz w:val="18"/>
                <w:szCs w:val="18"/>
              </w:rPr>
            </w:pPr>
          </w:p>
        </w:tc>
      </w:tr>
      <w:tr w:rsidR="00BF6B3C" w:rsidRPr="009B02A8" w:rsidTr="000C6F74">
        <w:sdt>
          <w:sdtPr>
            <w:rPr>
              <w:sz w:val="18"/>
              <w:szCs w:val="18"/>
            </w:rPr>
            <w:id w:val="281084795"/>
            <w14:checkbox>
              <w14:checked w14:val="0"/>
              <w14:checkedState w14:val="2612" w14:font="Arial Unicode MS"/>
              <w14:uncheckedState w14:val="2610" w14:font="Arial Unicode MS"/>
            </w14:checkbox>
          </w:sdtPr>
          <w:sdtEndPr/>
          <w:sdtContent>
            <w:tc>
              <w:tcPr>
                <w:tcW w:w="445" w:type="dxa"/>
              </w:tcPr>
              <w:p w:rsidR="00BF6B3C" w:rsidRPr="009B02A8" w:rsidRDefault="00BF6B3C" w:rsidP="000C6F74">
                <w:pPr>
                  <w:rPr>
                    <w:sz w:val="18"/>
                    <w:szCs w:val="18"/>
                  </w:rPr>
                </w:pPr>
                <w:r w:rsidRPr="009B02A8">
                  <w:rPr>
                    <w:rFonts w:ascii="MS Gothic" w:eastAsia="MS Gothic" w:hAnsi="MS Gothic" w:hint="eastAsia"/>
                    <w:sz w:val="18"/>
                    <w:szCs w:val="18"/>
                  </w:rPr>
                  <w:t>☐</w:t>
                </w:r>
              </w:p>
            </w:tc>
          </w:sdtContent>
        </w:sdt>
        <w:tc>
          <w:tcPr>
            <w:tcW w:w="2044" w:type="dxa"/>
          </w:tcPr>
          <w:p w:rsidR="00BF6B3C" w:rsidRPr="009B02A8" w:rsidRDefault="00BF6B3C" w:rsidP="000C6F74">
            <w:pPr>
              <w:spacing w:line="360" w:lineRule="auto"/>
              <w:rPr>
                <w:color w:val="000000" w:themeColor="text1"/>
                <w:sz w:val="18"/>
                <w:szCs w:val="18"/>
              </w:rPr>
            </w:pPr>
          </w:p>
        </w:tc>
        <w:tc>
          <w:tcPr>
            <w:tcW w:w="2836" w:type="dxa"/>
          </w:tcPr>
          <w:p w:rsidR="00BF6B3C" w:rsidRPr="009B02A8" w:rsidRDefault="00BF6B3C" w:rsidP="00BF6B3C">
            <w:pPr>
              <w:spacing w:line="360" w:lineRule="auto"/>
              <w:rPr>
                <w:color w:val="000000" w:themeColor="text1"/>
                <w:sz w:val="18"/>
                <w:szCs w:val="18"/>
              </w:rPr>
            </w:pPr>
            <w:r>
              <w:rPr>
                <w:color w:val="000000" w:themeColor="text1"/>
                <w:sz w:val="18"/>
                <w:szCs w:val="18"/>
              </w:rPr>
              <w:t>Suffix</w:t>
            </w:r>
          </w:p>
        </w:tc>
        <w:tc>
          <w:tcPr>
            <w:tcW w:w="3305" w:type="dxa"/>
          </w:tcPr>
          <w:p w:rsidR="00BF6B3C" w:rsidRPr="009B02A8" w:rsidRDefault="00BF6B3C" w:rsidP="000C6F74">
            <w:pPr>
              <w:rPr>
                <w:b/>
                <w:color w:val="000000" w:themeColor="text1"/>
                <w:sz w:val="18"/>
                <w:szCs w:val="18"/>
              </w:rPr>
            </w:pPr>
          </w:p>
        </w:tc>
      </w:tr>
      <w:tr w:rsidR="00BF6B3C" w:rsidRPr="009B02A8" w:rsidTr="000C6F74">
        <w:sdt>
          <w:sdtPr>
            <w:rPr>
              <w:sz w:val="18"/>
              <w:szCs w:val="18"/>
            </w:rPr>
            <w:id w:val="-791661927"/>
            <w14:checkbox>
              <w14:checked w14:val="0"/>
              <w14:checkedState w14:val="2612" w14:font="Arial Unicode MS"/>
              <w14:uncheckedState w14:val="2610" w14:font="Arial Unicode MS"/>
            </w14:checkbox>
          </w:sdtPr>
          <w:sdtEndPr/>
          <w:sdtContent>
            <w:tc>
              <w:tcPr>
                <w:tcW w:w="445" w:type="dxa"/>
              </w:tcPr>
              <w:p w:rsidR="00BF6B3C" w:rsidRPr="009B02A8" w:rsidRDefault="00BF6B3C" w:rsidP="000C6F74">
                <w:pPr>
                  <w:rPr>
                    <w:sz w:val="18"/>
                    <w:szCs w:val="18"/>
                  </w:rPr>
                </w:pPr>
                <w:r w:rsidRPr="009B02A8">
                  <w:rPr>
                    <w:rFonts w:ascii="MS Gothic" w:eastAsia="MS Gothic" w:hAnsi="MS Gothic" w:hint="eastAsia"/>
                    <w:sz w:val="18"/>
                    <w:szCs w:val="18"/>
                  </w:rPr>
                  <w:t>☐</w:t>
                </w:r>
              </w:p>
            </w:tc>
          </w:sdtContent>
        </w:sdt>
        <w:tc>
          <w:tcPr>
            <w:tcW w:w="2044" w:type="dxa"/>
          </w:tcPr>
          <w:p w:rsidR="00BF6B3C" w:rsidRPr="009B02A8" w:rsidRDefault="00BF6B3C" w:rsidP="000C6F74">
            <w:pPr>
              <w:spacing w:line="360" w:lineRule="auto"/>
              <w:rPr>
                <w:color w:val="000000" w:themeColor="text1"/>
                <w:sz w:val="18"/>
                <w:szCs w:val="18"/>
              </w:rPr>
            </w:pPr>
          </w:p>
        </w:tc>
        <w:tc>
          <w:tcPr>
            <w:tcW w:w="2836" w:type="dxa"/>
          </w:tcPr>
          <w:p w:rsidR="00BF6B3C" w:rsidRPr="009B02A8" w:rsidRDefault="00BF6B3C" w:rsidP="000C6F74">
            <w:pPr>
              <w:spacing w:line="360" w:lineRule="auto"/>
              <w:rPr>
                <w:color w:val="000000" w:themeColor="text1"/>
                <w:sz w:val="18"/>
                <w:szCs w:val="18"/>
              </w:rPr>
            </w:pPr>
            <w:r>
              <w:rPr>
                <w:color w:val="000000" w:themeColor="text1"/>
                <w:sz w:val="18"/>
                <w:szCs w:val="18"/>
              </w:rPr>
              <w:t>Date of birth</w:t>
            </w:r>
          </w:p>
        </w:tc>
        <w:tc>
          <w:tcPr>
            <w:tcW w:w="3305" w:type="dxa"/>
          </w:tcPr>
          <w:p w:rsidR="00BF6B3C" w:rsidRPr="00BF6B3C" w:rsidRDefault="00BF6B3C" w:rsidP="00BF6B3C">
            <w:pPr>
              <w:outlineLvl w:val="3"/>
              <w:rPr>
                <w:b/>
                <w:sz w:val="18"/>
                <w:szCs w:val="18"/>
              </w:rPr>
            </w:pPr>
            <w:r w:rsidRPr="00BF6B3C">
              <w:rPr>
                <w:b/>
                <w:sz w:val="18"/>
                <w:szCs w:val="18"/>
              </w:rPr>
              <w:t>(</w:t>
            </w:r>
            <w:proofErr w:type="spellStart"/>
            <w:r w:rsidRPr="00BF6B3C">
              <w:rPr>
                <w:b/>
                <w:sz w:val="18"/>
                <w:szCs w:val="18"/>
              </w:rPr>
              <w:t>i</w:t>
            </w:r>
            <w:proofErr w:type="spellEnd"/>
            <w:r w:rsidRPr="00BF6B3C">
              <w:rPr>
                <w:b/>
                <w:sz w:val="18"/>
                <w:szCs w:val="18"/>
              </w:rPr>
              <w:t xml:space="preserve">)The year, month and day of birth must be present for a date of birth The technology must include a null value when the date of birth is unknown. </w:t>
            </w:r>
          </w:p>
          <w:p w:rsidR="00BF6B3C" w:rsidRPr="009B02A8" w:rsidRDefault="00BF6B3C" w:rsidP="001944A3">
            <w:pPr>
              <w:outlineLvl w:val="3"/>
              <w:rPr>
                <w:b/>
                <w:sz w:val="18"/>
                <w:szCs w:val="18"/>
              </w:rPr>
            </w:pPr>
            <w:r w:rsidRPr="00BF6B3C">
              <w:rPr>
                <w:b/>
                <w:sz w:val="18"/>
                <w:szCs w:val="18"/>
              </w:rPr>
              <w:t>(</w:t>
            </w:r>
            <w:proofErr w:type="spellStart"/>
            <w:r w:rsidRPr="00BF6B3C">
              <w:rPr>
                <w:b/>
                <w:sz w:val="18"/>
                <w:szCs w:val="18"/>
              </w:rPr>
              <w:t>i</w:t>
            </w:r>
            <w:proofErr w:type="spellEnd"/>
            <w:r w:rsidRPr="00BF6B3C">
              <w:rPr>
                <w:b/>
                <w:sz w:val="18"/>
                <w:szCs w:val="18"/>
              </w:rPr>
              <w:t>) Optional: When the hour, minute and second are associated with a date of birth the technology must demonstrate that the correct time zone offset is included.</w:t>
            </w:r>
          </w:p>
        </w:tc>
      </w:tr>
      <w:tr w:rsidR="00BF6B3C" w:rsidRPr="009B02A8" w:rsidTr="000C6F74">
        <w:sdt>
          <w:sdtPr>
            <w:rPr>
              <w:sz w:val="18"/>
              <w:szCs w:val="18"/>
            </w:rPr>
            <w:id w:val="1679223011"/>
            <w14:checkbox>
              <w14:checked w14:val="0"/>
              <w14:checkedState w14:val="2612" w14:font="Arial Unicode MS"/>
              <w14:uncheckedState w14:val="2610" w14:font="Arial Unicode MS"/>
            </w14:checkbox>
          </w:sdtPr>
          <w:sdtEndPr/>
          <w:sdtContent>
            <w:tc>
              <w:tcPr>
                <w:tcW w:w="445" w:type="dxa"/>
              </w:tcPr>
              <w:p w:rsidR="00BF6B3C" w:rsidRPr="009B02A8" w:rsidRDefault="00BF6B3C" w:rsidP="000C6F74">
                <w:pPr>
                  <w:rPr>
                    <w:sz w:val="18"/>
                    <w:szCs w:val="18"/>
                  </w:rPr>
                </w:pPr>
                <w:r w:rsidRPr="009B02A8">
                  <w:rPr>
                    <w:rFonts w:ascii="MS Gothic" w:eastAsia="MS Gothic" w:hAnsi="MS Gothic" w:hint="eastAsia"/>
                    <w:sz w:val="18"/>
                    <w:szCs w:val="18"/>
                  </w:rPr>
                  <w:t>☐</w:t>
                </w:r>
              </w:p>
            </w:tc>
          </w:sdtContent>
        </w:sdt>
        <w:tc>
          <w:tcPr>
            <w:tcW w:w="2044" w:type="dxa"/>
          </w:tcPr>
          <w:p w:rsidR="00BF6B3C" w:rsidRPr="009B02A8" w:rsidRDefault="00BF6B3C" w:rsidP="000C6F74">
            <w:pPr>
              <w:spacing w:line="360" w:lineRule="auto"/>
              <w:rPr>
                <w:color w:val="000000" w:themeColor="text1"/>
                <w:sz w:val="18"/>
                <w:szCs w:val="18"/>
              </w:rPr>
            </w:pPr>
          </w:p>
        </w:tc>
        <w:tc>
          <w:tcPr>
            <w:tcW w:w="2836" w:type="dxa"/>
          </w:tcPr>
          <w:p w:rsidR="00BF6B3C" w:rsidRPr="009B02A8" w:rsidRDefault="00BF6B3C" w:rsidP="000C6F74">
            <w:pPr>
              <w:spacing w:line="360" w:lineRule="auto"/>
              <w:rPr>
                <w:color w:val="000000" w:themeColor="text1"/>
                <w:sz w:val="18"/>
                <w:szCs w:val="18"/>
              </w:rPr>
            </w:pPr>
            <w:r>
              <w:rPr>
                <w:color w:val="000000" w:themeColor="text1"/>
                <w:sz w:val="18"/>
                <w:szCs w:val="18"/>
              </w:rPr>
              <w:t>Address</w:t>
            </w:r>
          </w:p>
        </w:tc>
        <w:tc>
          <w:tcPr>
            <w:tcW w:w="3305" w:type="dxa"/>
          </w:tcPr>
          <w:p w:rsidR="00BF6B3C" w:rsidRPr="009B02A8" w:rsidRDefault="00BF6B3C" w:rsidP="000C6F74">
            <w:pPr>
              <w:outlineLvl w:val="3"/>
              <w:rPr>
                <w:b/>
                <w:color w:val="000000" w:themeColor="text1"/>
                <w:sz w:val="18"/>
                <w:szCs w:val="18"/>
              </w:rPr>
            </w:pPr>
          </w:p>
        </w:tc>
      </w:tr>
      <w:tr w:rsidR="00BF6B3C" w:rsidRPr="009B02A8" w:rsidTr="000C6F74">
        <w:sdt>
          <w:sdtPr>
            <w:rPr>
              <w:sz w:val="18"/>
              <w:szCs w:val="18"/>
            </w:rPr>
            <w:id w:val="1659265881"/>
            <w14:checkbox>
              <w14:checked w14:val="0"/>
              <w14:checkedState w14:val="2612" w14:font="Arial Unicode MS"/>
              <w14:uncheckedState w14:val="2610" w14:font="Arial Unicode MS"/>
            </w14:checkbox>
          </w:sdtPr>
          <w:sdtEndPr/>
          <w:sdtContent>
            <w:tc>
              <w:tcPr>
                <w:tcW w:w="445" w:type="dxa"/>
              </w:tcPr>
              <w:p w:rsidR="00BF6B3C" w:rsidRPr="009B02A8" w:rsidRDefault="00BF6B3C" w:rsidP="000C6F74">
                <w:pPr>
                  <w:rPr>
                    <w:sz w:val="18"/>
                    <w:szCs w:val="18"/>
                  </w:rPr>
                </w:pPr>
                <w:r w:rsidRPr="009B02A8">
                  <w:rPr>
                    <w:rFonts w:ascii="MS Gothic" w:eastAsia="MS Gothic" w:hAnsi="MS Gothic" w:hint="eastAsia"/>
                    <w:sz w:val="18"/>
                    <w:szCs w:val="18"/>
                  </w:rPr>
                  <w:t>☐</w:t>
                </w:r>
              </w:p>
            </w:tc>
          </w:sdtContent>
        </w:sdt>
        <w:tc>
          <w:tcPr>
            <w:tcW w:w="2044" w:type="dxa"/>
          </w:tcPr>
          <w:p w:rsidR="00BF6B3C" w:rsidRPr="009B02A8" w:rsidRDefault="00BF6B3C" w:rsidP="000C6F74">
            <w:pPr>
              <w:spacing w:line="360" w:lineRule="auto"/>
              <w:rPr>
                <w:color w:val="000000" w:themeColor="text1"/>
                <w:sz w:val="18"/>
                <w:szCs w:val="18"/>
              </w:rPr>
            </w:pPr>
          </w:p>
        </w:tc>
        <w:tc>
          <w:tcPr>
            <w:tcW w:w="2836" w:type="dxa"/>
          </w:tcPr>
          <w:p w:rsidR="00BF6B3C" w:rsidRPr="009B02A8" w:rsidRDefault="00BF6B3C" w:rsidP="000C6F74">
            <w:pPr>
              <w:spacing w:line="360" w:lineRule="auto"/>
              <w:rPr>
                <w:color w:val="000000" w:themeColor="text1"/>
                <w:sz w:val="18"/>
                <w:szCs w:val="18"/>
              </w:rPr>
            </w:pPr>
            <w:r>
              <w:rPr>
                <w:color w:val="000000" w:themeColor="text1"/>
                <w:sz w:val="18"/>
                <w:szCs w:val="18"/>
              </w:rPr>
              <w:t>Phone number</w:t>
            </w:r>
          </w:p>
        </w:tc>
        <w:tc>
          <w:tcPr>
            <w:tcW w:w="3305" w:type="dxa"/>
          </w:tcPr>
          <w:p w:rsidR="00BF6B3C" w:rsidRPr="009B02A8" w:rsidRDefault="00BF6B3C" w:rsidP="00B3113A">
            <w:pPr>
              <w:rPr>
                <w:b/>
                <w:color w:val="000000" w:themeColor="text1"/>
                <w:sz w:val="18"/>
                <w:szCs w:val="18"/>
              </w:rPr>
            </w:pPr>
            <w:r w:rsidRPr="00BF6B3C">
              <w:rPr>
                <w:b/>
                <w:color w:val="000000" w:themeColor="text1"/>
                <w:sz w:val="18"/>
                <w:szCs w:val="18"/>
              </w:rPr>
              <w:t>Represent phone number (home, business, cell) in accordance with the standards adopted in § 170.207(q</w:t>
            </w:r>
            <w:proofErr w:type="gramStart"/>
            <w:r w:rsidRPr="00BF6B3C">
              <w:rPr>
                <w:b/>
                <w:color w:val="000000" w:themeColor="text1"/>
                <w:sz w:val="18"/>
                <w:szCs w:val="18"/>
              </w:rPr>
              <w:t>)(</w:t>
            </w:r>
            <w:proofErr w:type="gramEnd"/>
            <w:r w:rsidRPr="00BF6B3C">
              <w:rPr>
                <w:b/>
                <w:color w:val="000000" w:themeColor="text1"/>
                <w:sz w:val="18"/>
                <w:szCs w:val="18"/>
              </w:rPr>
              <w:t>1). All phone numbers must be included when multiple phone numbers are present.</w:t>
            </w:r>
          </w:p>
        </w:tc>
      </w:tr>
      <w:tr w:rsidR="00BF6B3C" w:rsidRPr="009B02A8" w:rsidTr="000C6F74">
        <w:sdt>
          <w:sdtPr>
            <w:rPr>
              <w:sz w:val="18"/>
              <w:szCs w:val="18"/>
            </w:rPr>
            <w:id w:val="-1572344396"/>
            <w14:checkbox>
              <w14:checked w14:val="0"/>
              <w14:checkedState w14:val="2612" w14:font="Arial Unicode MS"/>
              <w14:uncheckedState w14:val="2610" w14:font="Arial Unicode MS"/>
            </w14:checkbox>
          </w:sdtPr>
          <w:sdtEndPr/>
          <w:sdtContent>
            <w:tc>
              <w:tcPr>
                <w:tcW w:w="445" w:type="dxa"/>
              </w:tcPr>
              <w:p w:rsidR="00BF6B3C" w:rsidRPr="009B02A8" w:rsidRDefault="00BF6B3C" w:rsidP="000C6F74">
                <w:pPr>
                  <w:rPr>
                    <w:sz w:val="18"/>
                    <w:szCs w:val="18"/>
                  </w:rPr>
                </w:pPr>
                <w:r w:rsidRPr="009B02A8">
                  <w:rPr>
                    <w:rFonts w:ascii="MS Gothic" w:eastAsia="MS Gothic" w:hAnsi="MS Gothic" w:hint="eastAsia"/>
                    <w:sz w:val="18"/>
                    <w:szCs w:val="18"/>
                  </w:rPr>
                  <w:t>☐</w:t>
                </w:r>
              </w:p>
            </w:tc>
          </w:sdtContent>
        </w:sdt>
        <w:tc>
          <w:tcPr>
            <w:tcW w:w="2044" w:type="dxa"/>
          </w:tcPr>
          <w:p w:rsidR="00BF6B3C" w:rsidRPr="009B02A8" w:rsidRDefault="00BF6B3C" w:rsidP="000C6F74">
            <w:pPr>
              <w:spacing w:line="360" w:lineRule="auto"/>
              <w:rPr>
                <w:color w:val="000000" w:themeColor="text1"/>
                <w:sz w:val="18"/>
                <w:szCs w:val="18"/>
              </w:rPr>
            </w:pPr>
          </w:p>
        </w:tc>
        <w:tc>
          <w:tcPr>
            <w:tcW w:w="2836" w:type="dxa"/>
          </w:tcPr>
          <w:p w:rsidR="00BF6B3C" w:rsidRPr="009B02A8" w:rsidRDefault="00BF6B3C" w:rsidP="000C6F74">
            <w:pPr>
              <w:spacing w:line="360" w:lineRule="auto"/>
              <w:rPr>
                <w:color w:val="000000" w:themeColor="text1"/>
                <w:sz w:val="18"/>
                <w:szCs w:val="18"/>
              </w:rPr>
            </w:pPr>
            <w:r>
              <w:rPr>
                <w:color w:val="000000" w:themeColor="text1"/>
                <w:sz w:val="18"/>
                <w:szCs w:val="18"/>
              </w:rPr>
              <w:t>Sex</w:t>
            </w:r>
          </w:p>
        </w:tc>
        <w:tc>
          <w:tcPr>
            <w:tcW w:w="3305" w:type="dxa"/>
          </w:tcPr>
          <w:p w:rsidR="00BF6B3C" w:rsidRDefault="00BF6B3C" w:rsidP="000C6F74">
            <w:pPr>
              <w:outlineLvl w:val="3"/>
              <w:rPr>
                <w:b/>
                <w:sz w:val="18"/>
                <w:szCs w:val="18"/>
              </w:rPr>
            </w:pPr>
            <w:r w:rsidRPr="00BF6B3C">
              <w:rPr>
                <w:b/>
                <w:sz w:val="18"/>
                <w:szCs w:val="18"/>
              </w:rPr>
              <w:t>Represent sex in accordance with the standard adopted in § 170.207(n)(1)</w:t>
            </w:r>
            <w:r w:rsidR="00295D40">
              <w:rPr>
                <w:b/>
                <w:sz w:val="18"/>
                <w:szCs w:val="18"/>
              </w:rPr>
              <w:t xml:space="preserve">, birth sex coded in accordance with HL7 v3 value sets for </w:t>
            </w:r>
            <w:proofErr w:type="spellStart"/>
            <w:r w:rsidR="00295D40">
              <w:rPr>
                <w:b/>
                <w:sz w:val="18"/>
                <w:szCs w:val="18"/>
              </w:rPr>
              <w:t>AdministrativeGender</w:t>
            </w:r>
            <w:proofErr w:type="spellEnd"/>
            <w:r w:rsidR="00295D40">
              <w:rPr>
                <w:b/>
                <w:sz w:val="18"/>
                <w:szCs w:val="18"/>
              </w:rPr>
              <w:t xml:space="preserve"> and </w:t>
            </w:r>
            <w:proofErr w:type="spellStart"/>
            <w:r w:rsidR="00295D40">
              <w:rPr>
                <w:b/>
                <w:sz w:val="18"/>
                <w:szCs w:val="18"/>
              </w:rPr>
              <w:t>Nullflavor</w:t>
            </w:r>
            <w:proofErr w:type="spellEnd"/>
            <w:r w:rsidR="00295D40">
              <w:rPr>
                <w:b/>
                <w:sz w:val="18"/>
                <w:szCs w:val="18"/>
              </w:rPr>
              <w:t xml:space="preserve"> attributed as follows:</w:t>
            </w:r>
          </w:p>
          <w:p w:rsidR="00295D40" w:rsidRDefault="00295D40" w:rsidP="00295D40">
            <w:pPr>
              <w:pStyle w:val="ListParagraph"/>
              <w:numPr>
                <w:ilvl w:val="0"/>
                <w:numId w:val="41"/>
              </w:numPr>
              <w:ind w:left="682" w:hanging="322"/>
              <w:outlineLvl w:val="3"/>
              <w:rPr>
                <w:b/>
                <w:sz w:val="18"/>
                <w:szCs w:val="18"/>
              </w:rPr>
            </w:pPr>
            <w:r>
              <w:rPr>
                <w:b/>
                <w:sz w:val="18"/>
                <w:szCs w:val="18"/>
              </w:rPr>
              <w:t>Male M;</w:t>
            </w:r>
          </w:p>
          <w:p w:rsidR="00295D40" w:rsidRDefault="00295D40" w:rsidP="00295D40">
            <w:pPr>
              <w:pStyle w:val="ListParagraph"/>
              <w:numPr>
                <w:ilvl w:val="0"/>
                <w:numId w:val="41"/>
              </w:numPr>
              <w:ind w:left="682" w:hanging="322"/>
              <w:outlineLvl w:val="3"/>
              <w:rPr>
                <w:b/>
                <w:sz w:val="18"/>
                <w:szCs w:val="18"/>
              </w:rPr>
            </w:pPr>
            <w:r>
              <w:rPr>
                <w:b/>
                <w:sz w:val="18"/>
                <w:szCs w:val="18"/>
              </w:rPr>
              <w:t>Female F;</w:t>
            </w:r>
          </w:p>
          <w:p w:rsidR="00295D40" w:rsidRPr="00295D40" w:rsidRDefault="00295D40" w:rsidP="00295D40">
            <w:pPr>
              <w:pStyle w:val="ListParagraph"/>
              <w:numPr>
                <w:ilvl w:val="0"/>
                <w:numId w:val="41"/>
              </w:numPr>
              <w:ind w:left="682" w:hanging="322"/>
              <w:outlineLvl w:val="3"/>
              <w:rPr>
                <w:b/>
                <w:sz w:val="18"/>
                <w:szCs w:val="18"/>
              </w:rPr>
            </w:pPr>
            <w:r>
              <w:rPr>
                <w:b/>
                <w:sz w:val="18"/>
                <w:szCs w:val="18"/>
              </w:rPr>
              <w:t xml:space="preserve">Unknown. </w:t>
            </w:r>
            <w:proofErr w:type="spellStart"/>
            <w:r>
              <w:rPr>
                <w:b/>
                <w:sz w:val="18"/>
                <w:szCs w:val="18"/>
              </w:rPr>
              <w:t>nullFlavor</w:t>
            </w:r>
            <w:proofErr w:type="spellEnd"/>
            <w:r>
              <w:rPr>
                <w:b/>
                <w:sz w:val="18"/>
                <w:szCs w:val="18"/>
              </w:rPr>
              <w:t xml:space="preserve"> UNK</w:t>
            </w:r>
          </w:p>
        </w:tc>
      </w:tr>
    </w:tbl>
    <w:p w:rsidR="00362E3C" w:rsidRDefault="00362E3C" w:rsidP="00362E3C">
      <w:pPr>
        <w:pStyle w:val="Heading1"/>
      </w:pPr>
      <w:bookmarkStart w:id="7" w:name="_Appendix_A:_Testing"/>
      <w:bookmarkStart w:id="8" w:name="_Toc432066410"/>
      <w:bookmarkEnd w:id="7"/>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E043E4">
        <w:t>Mar</w:t>
      </w:r>
      <w:r>
        <w:t>-</w:t>
      </w:r>
      <w:r w:rsidRPr="00230C89">
        <w:t>2016</w:t>
      </w:r>
      <w:r>
        <w:t xml:space="preserve"> Additions</w:t>
      </w:r>
    </w:p>
    <w:p w:rsidR="00362E3C" w:rsidRDefault="001136E9" w:rsidP="001136E9">
      <w:pPr>
        <w:pStyle w:val="ListParagraph"/>
        <w:numPr>
          <w:ilvl w:val="0"/>
          <w:numId w:val="39"/>
        </w:numPr>
      </w:pPr>
      <w:r w:rsidRPr="001136E9">
        <w:t>The scope of this criterion is limited to the Consolidated CDA (C-CDA) Continuity of Care Document (CCD), Referral Note, and (for the inpatient setting only) Discharge Summary document templates.</w:t>
      </w:r>
    </w:p>
    <w:p w:rsidR="001136E9" w:rsidRDefault="001136E9" w:rsidP="001136E9">
      <w:pPr>
        <w:pStyle w:val="ListParagraph"/>
        <w:numPr>
          <w:ilvl w:val="0"/>
          <w:numId w:val="39"/>
        </w:numPr>
      </w:pPr>
      <w:r w:rsidRPr="001136E9">
        <w:t xml:space="preserve">We recommend health IT developers and providers follow the guidance provided in the </w:t>
      </w:r>
      <w:hyperlink r:id="rId15" w:history="1">
        <w:r>
          <w:rPr>
            <w:rStyle w:val="Hyperlink"/>
          </w:rPr>
          <w:t>HL7 Implementation Guide: S&amp;I Framework Transitions of Care Companion Guide to Consolidated-CDA for Meaningful Use Stage 2, Release 1 – US Realm</w:t>
        </w:r>
      </w:hyperlink>
      <w:r>
        <w:t xml:space="preserve">. </w:t>
      </w:r>
      <w:r w:rsidRPr="001136E9">
        <w:t>This Companion Guide includes industry best practices guidance for consistent implementation of the CCDA Release 1.1 standard, including mapping Common MU Data Set el</w:t>
      </w:r>
      <w:r>
        <w:t xml:space="preserve">ements into the C-CDA standard.  </w:t>
      </w:r>
      <w:r w:rsidRPr="001136E9">
        <w:t>We understand that HL7 is developing a Companion Guide for C-CDA Release 2.1 and intend to update this document once it becomes publicly available. In the meantime, we recommend developers follow the guidance provided by the HL7 CDA Example Task Force for implementation of the CCDA Release 2.1 standard.</w:t>
      </w:r>
    </w:p>
    <w:p w:rsidR="001136E9" w:rsidRDefault="001136E9" w:rsidP="001136E9">
      <w:pPr>
        <w:pStyle w:val="ListParagraph"/>
        <w:numPr>
          <w:ilvl w:val="0"/>
          <w:numId w:val="39"/>
        </w:numPr>
      </w:pPr>
      <w:r w:rsidRPr="001136E9">
        <w:t>In order to facilitate the translation of SNOMED CT® codes to ICD-10-CM in administrative systems, developers are encouraged to reference the publicly available mapping that the National Library of Medicine provides.</w:t>
      </w:r>
    </w:p>
    <w:p w:rsidR="001136E9" w:rsidRDefault="00133742" w:rsidP="00133742">
      <w:pPr>
        <w:pStyle w:val="ListParagraph"/>
        <w:numPr>
          <w:ilvl w:val="0"/>
          <w:numId w:val="39"/>
        </w:numPr>
      </w:pPr>
      <w:r w:rsidRPr="00133742">
        <w:t>Health IT Modules can present for certification to a more recent version of SNOMED CT®, U.S. Edition than the September 2015 Release per ONC’s policy that permits certification to a more recent version of certain vocabulary standards.</w:t>
      </w:r>
    </w:p>
    <w:p w:rsidR="00133742" w:rsidRDefault="00133742" w:rsidP="00133742">
      <w:pPr>
        <w:pStyle w:val="ListParagraph"/>
        <w:numPr>
          <w:ilvl w:val="0"/>
          <w:numId w:val="39"/>
        </w:numPr>
      </w:pPr>
      <w:r>
        <w:t xml:space="preserve">The C-CDA Cognitive Status Observation template has been deprecated in Release 2.1 and has been replaced with the Mental Status Observation template. Developers should use the Mental Status Observation template for cognitive status and be aware that the CCDA validator will issue an error if the deprecated Cognitive Status Observation is used instead. </w:t>
      </w: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362E3C" w:rsidRDefault="009E4A8E" w:rsidP="00362E3C">
      <w:pPr>
        <w:pStyle w:val="Heading1"/>
      </w:pPr>
      <w:bookmarkStart w:id="9" w:name="_Appendix_B:_ONC"/>
      <w:bookmarkStart w:id="10" w:name="_Toc432066411"/>
      <w:bookmarkEnd w:id="9"/>
      <w:r>
        <w:lastRenderedPageBreak/>
        <w:t xml:space="preserve">Appendix </w:t>
      </w:r>
      <w:r w:rsidR="00362E3C" w:rsidRPr="000B796D">
        <w:t>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0738B7" w:rsidRDefault="00B5776F" w:rsidP="000B796D">
      <w:pPr>
        <w:pStyle w:val="NormalWeb"/>
      </w:pPr>
      <w:r>
        <w:rPr>
          <w:b/>
        </w:rPr>
        <w:t>§170.315</w:t>
      </w:r>
      <w:r w:rsidR="007147F7">
        <w:rPr>
          <w:b/>
        </w:rPr>
        <w:t>(b</w:t>
      </w:r>
      <w:proofErr w:type="gramStart"/>
      <w:r w:rsidR="007147F7">
        <w:rPr>
          <w:b/>
        </w:rPr>
        <w:t>)(</w:t>
      </w:r>
      <w:proofErr w:type="gramEnd"/>
      <w:r w:rsidR="007147F7">
        <w:rPr>
          <w:b/>
        </w:rPr>
        <w:t>4)</w:t>
      </w:r>
      <w:r w:rsidR="000B796D" w:rsidRPr="003B369F">
        <w:rPr>
          <w:b/>
        </w:rPr>
        <w:t xml:space="preserve"> </w:t>
      </w:r>
      <w:r w:rsidR="000738B7">
        <w:rPr>
          <w:b/>
          <w:i/>
          <w:iCs/>
        </w:rPr>
        <w:t>Common Clinical Data summary record - create</w:t>
      </w:r>
      <w:r w:rsidR="000B796D" w:rsidRPr="003B369F">
        <w:rPr>
          <w:b/>
          <w:i/>
          <w:iCs/>
        </w:rPr>
        <w:t>.</w:t>
      </w:r>
      <w:r w:rsidR="000B796D">
        <w:t xml:space="preserve"> </w:t>
      </w:r>
      <w:r w:rsidR="000738B7">
        <w:t>Enable a user to create a transition of care/referral summary formatted in accordance with the standards specified in § 170.205(a</w:t>
      </w:r>
      <w:proofErr w:type="gramStart"/>
      <w:r w:rsidR="000738B7">
        <w:t>)(</w:t>
      </w:r>
      <w:proofErr w:type="gramEnd"/>
      <w:r w:rsidR="000738B7">
        <w:t xml:space="preserve">4) using the Continuity of Care Document, Referral Note, and (for inpatient setting only) Discharge Summary document templates that includes at a minimum: </w:t>
      </w:r>
    </w:p>
    <w:p w:rsidR="000738B7" w:rsidRDefault="000738B7" w:rsidP="002524B3">
      <w:r>
        <w:t xml:space="preserve">The Common Clinical Data Set. </w:t>
      </w:r>
    </w:p>
    <w:p w:rsidR="000738B7" w:rsidRDefault="000738B7" w:rsidP="002524B3">
      <w:r>
        <w:t xml:space="preserve">Encounter diagnoses. Formatted according to at least one of the following standards: </w:t>
      </w:r>
    </w:p>
    <w:p w:rsidR="000738B7" w:rsidRDefault="000738B7" w:rsidP="002524B3">
      <w:r>
        <w:t>(A) The standard specified in § 170.207(</w:t>
      </w:r>
      <w:proofErr w:type="spellStart"/>
      <w:r>
        <w:t>i</w:t>
      </w:r>
      <w:proofErr w:type="spellEnd"/>
      <w:r>
        <w:t>) or at a minimum, the version of the standard specified in § 170.207(a</w:t>
      </w:r>
      <w:proofErr w:type="gramStart"/>
      <w:r>
        <w:t>)(</w:t>
      </w:r>
      <w:proofErr w:type="gramEnd"/>
      <w:r>
        <w:t xml:space="preserve">4). </w:t>
      </w:r>
    </w:p>
    <w:p w:rsidR="000738B7" w:rsidRDefault="000738B7" w:rsidP="002524B3">
      <w:r>
        <w:t xml:space="preserve">Cognitive status. </w:t>
      </w:r>
    </w:p>
    <w:p w:rsidR="000738B7" w:rsidRDefault="000738B7" w:rsidP="002524B3">
      <w:r>
        <w:t xml:space="preserve">Functional status. </w:t>
      </w:r>
    </w:p>
    <w:p w:rsidR="000738B7" w:rsidRDefault="000738B7" w:rsidP="002524B3">
      <w:r>
        <w:t xml:space="preserve">Ambulatory setting only. The reason for referral; and referring or transitioning provider's name and office contact information </w:t>
      </w:r>
    </w:p>
    <w:p w:rsidR="000738B7" w:rsidRDefault="000738B7" w:rsidP="002524B3">
      <w:r>
        <w:t xml:space="preserve">Inpatient setting only. Discharge instructions. </w:t>
      </w:r>
    </w:p>
    <w:p w:rsidR="000738B7" w:rsidRDefault="000738B7" w:rsidP="002524B3">
      <w:r>
        <w:t xml:space="preserve">Patient matching data. First name, last name, previous name, middle name (including middle initial), suffix, date of birth, address, phone number, and sex. The following constraints apply: </w:t>
      </w:r>
    </w:p>
    <w:p w:rsidR="000738B7" w:rsidRDefault="000738B7" w:rsidP="002524B3">
      <w:r>
        <w:t xml:space="preserve">(A) Date of birth constraint— (1) </w:t>
      </w:r>
      <w:proofErr w:type="gramStart"/>
      <w:r>
        <w:t>The</w:t>
      </w:r>
      <w:proofErr w:type="gramEnd"/>
      <w:r>
        <w:t xml:space="preserve"> year, month and date of birth must be present for a date of birth. The technology must include a null value when the date of birth is unknown. (2) Optional. When the hour, minute and second are associated with a date of birth the technology must demonstrate that the correct time zone offset is included. </w:t>
      </w:r>
    </w:p>
    <w:p w:rsidR="000738B7" w:rsidRDefault="000738B7" w:rsidP="002524B3">
      <w:r>
        <w:t>(B) Phone number constraint. Represent phone number (home, business, cell) in accordance with the standards adopted in § 170.207(q</w:t>
      </w:r>
      <w:proofErr w:type="gramStart"/>
      <w:r>
        <w:t>)(</w:t>
      </w:r>
      <w:proofErr w:type="gramEnd"/>
      <w:r>
        <w:t xml:space="preserve">1). All phone numbers must be included when multiple phone numbers are present. </w:t>
      </w:r>
    </w:p>
    <w:p w:rsidR="000738B7" w:rsidRDefault="000738B7" w:rsidP="002524B3">
      <w:r>
        <w:t>(C) Sex constraint. Represent sex in accordance with the standard adopted in § 170.207(n</w:t>
      </w:r>
      <w:proofErr w:type="gramStart"/>
      <w:r>
        <w:t>)(</w:t>
      </w:r>
      <w:proofErr w:type="gramEnd"/>
      <w:r>
        <w:t>1).</w:t>
      </w:r>
    </w:p>
    <w:p w:rsidR="000B796D" w:rsidRDefault="000B796D" w:rsidP="002524B3"/>
    <w:p w:rsidR="000B796D" w:rsidRDefault="000B796D" w:rsidP="002524B3">
      <w:pPr>
        <w:rPr>
          <w:b/>
        </w:rPr>
      </w:pPr>
      <w:r w:rsidRPr="00BE51CC">
        <w:rPr>
          <w:b/>
        </w:rPr>
        <w:t xml:space="preserve">§170.102 </w:t>
      </w:r>
      <w:r w:rsidRPr="00BE51CC">
        <w:rPr>
          <w:rFonts w:ascii="TimesNewRoman,Bold" w:hAnsi="TimesNewRoman,Bold" w:cs="TimesNewRoman,Bold"/>
          <w:b/>
          <w:bCs/>
        </w:rPr>
        <w:t>–</w:t>
      </w:r>
      <w:r w:rsidRPr="00BE51CC">
        <w:rPr>
          <w:b/>
        </w:rPr>
        <w:t xml:space="preserve"> Definitions</w:t>
      </w:r>
    </w:p>
    <w:p w:rsidR="000B796D" w:rsidRDefault="000B796D" w:rsidP="002524B3">
      <w:r w:rsidRPr="00BE51CC">
        <w:rPr>
          <w:b/>
          <w:i/>
          <w:iCs/>
        </w:rPr>
        <w:t>Common Clinical Data Set</w:t>
      </w:r>
      <w:r>
        <w:t xml:space="preserve"> means the following data expressed, where indicated, according to the specified standard(s):</w:t>
      </w:r>
    </w:p>
    <w:p w:rsidR="000B796D" w:rsidRDefault="000B796D" w:rsidP="002524B3">
      <w:r>
        <w:t xml:space="preserve">(1) </w:t>
      </w:r>
      <w:r>
        <w:rPr>
          <w:i/>
          <w:iCs/>
        </w:rPr>
        <w:t>Patient name.</w:t>
      </w:r>
      <w:r>
        <w:t xml:space="preserve"> </w:t>
      </w:r>
    </w:p>
    <w:p w:rsidR="000B796D" w:rsidRDefault="000B796D" w:rsidP="002524B3">
      <w:r>
        <w:t xml:space="preserve">(2) </w:t>
      </w:r>
      <w:r>
        <w:rPr>
          <w:i/>
          <w:iCs/>
        </w:rPr>
        <w:t>Sex.</w:t>
      </w:r>
      <w:r>
        <w:t xml:space="preserve"> (ii) The standard specified in § 170.207(n</w:t>
      </w:r>
      <w:proofErr w:type="gramStart"/>
      <w:r>
        <w:t>)(</w:t>
      </w:r>
      <w:proofErr w:type="gramEnd"/>
      <w:r>
        <w:t>1).</w:t>
      </w:r>
    </w:p>
    <w:p w:rsidR="000B796D" w:rsidRDefault="000B796D" w:rsidP="002524B3">
      <w:r>
        <w:t xml:space="preserve">(3) </w:t>
      </w:r>
      <w:r>
        <w:rPr>
          <w:i/>
          <w:iCs/>
        </w:rPr>
        <w:t>Date of birth.</w:t>
      </w:r>
      <w:r>
        <w:t xml:space="preserve"> </w:t>
      </w:r>
    </w:p>
    <w:p w:rsidR="000B796D" w:rsidRDefault="000B796D" w:rsidP="002524B3">
      <w:r>
        <w:t xml:space="preserve">(4) </w:t>
      </w:r>
      <w:r>
        <w:rPr>
          <w:i/>
          <w:iCs/>
        </w:rPr>
        <w:t>Race.</w:t>
      </w:r>
      <w:r>
        <w:t xml:space="preserve"> (ii) For certification to the 2015 Edition health IT certification criteria:</w:t>
      </w:r>
    </w:p>
    <w:p w:rsidR="000B796D" w:rsidRDefault="000B796D" w:rsidP="002524B3">
      <w:r>
        <w:t>(A) The standard specified in § 170.207(f</w:t>
      </w:r>
      <w:proofErr w:type="gramStart"/>
      <w:r>
        <w:t>)(</w:t>
      </w:r>
      <w:proofErr w:type="gramEnd"/>
      <w:r>
        <w:t>2);</w:t>
      </w:r>
    </w:p>
    <w:p w:rsidR="000B796D" w:rsidRDefault="000B796D" w:rsidP="002524B3">
      <w:r>
        <w:lastRenderedPageBreak/>
        <w:t>(B) The standard specified in § 170.207(f</w:t>
      </w:r>
      <w:proofErr w:type="gramStart"/>
      <w:r>
        <w:t>)(</w:t>
      </w:r>
      <w:proofErr w:type="gramEnd"/>
      <w:r>
        <w:t>1) for each race identified in accordance § 170.207(f)(2).</w:t>
      </w:r>
    </w:p>
    <w:p w:rsidR="000B796D" w:rsidRDefault="000B796D" w:rsidP="002524B3">
      <w:r>
        <w:t xml:space="preserve">(5) </w:t>
      </w:r>
      <w:r>
        <w:rPr>
          <w:i/>
          <w:iCs/>
        </w:rPr>
        <w:t>Ethnicity.</w:t>
      </w:r>
      <w:r>
        <w:t xml:space="preserve"> (ii) For certification to the 2015 Edition health IT certification criteria:</w:t>
      </w:r>
    </w:p>
    <w:p w:rsidR="000B796D" w:rsidRDefault="000B796D" w:rsidP="002524B3">
      <w:r>
        <w:t>(A) The standard specified in § 170.207(f</w:t>
      </w:r>
      <w:proofErr w:type="gramStart"/>
      <w:r>
        <w:t>)(</w:t>
      </w:r>
      <w:proofErr w:type="gramEnd"/>
      <w:r>
        <w:t>2);</w:t>
      </w:r>
    </w:p>
    <w:p w:rsidR="000B796D" w:rsidRDefault="000B796D" w:rsidP="002524B3">
      <w:r>
        <w:t>(B) The standard specified in § 170.207(f</w:t>
      </w:r>
      <w:proofErr w:type="gramStart"/>
      <w:r>
        <w:t>)(</w:t>
      </w:r>
      <w:proofErr w:type="gramEnd"/>
      <w:r>
        <w:t>1) for each ethnicity identified in accordance § 170.207(f)(2).</w:t>
      </w:r>
    </w:p>
    <w:p w:rsidR="000B796D" w:rsidRDefault="000B796D" w:rsidP="002524B3">
      <w:r>
        <w:t xml:space="preserve">(6) </w:t>
      </w:r>
      <w:r>
        <w:rPr>
          <w:i/>
          <w:iCs/>
        </w:rPr>
        <w:t>Preferred language.</w:t>
      </w:r>
      <w:r>
        <w:t xml:space="preserve"> (ii) The standard specified in § 170.207(g</w:t>
      </w:r>
      <w:proofErr w:type="gramStart"/>
      <w:r>
        <w:t>)(</w:t>
      </w:r>
      <w:proofErr w:type="gramEnd"/>
      <w:r>
        <w:t>2).</w:t>
      </w:r>
    </w:p>
    <w:p w:rsidR="000B796D" w:rsidRDefault="000B796D" w:rsidP="002524B3">
      <w:r>
        <w:t xml:space="preserve">(7) </w:t>
      </w:r>
      <w:r>
        <w:rPr>
          <w:i/>
          <w:iCs/>
        </w:rPr>
        <w:t>Smoking status.</w:t>
      </w:r>
      <w:r>
        <w:t xml:space="preserve"> The standard specified in § 170.207(h).</w:t>
      </w:r>
    </w:p>
    <w:p w:rsidR="000B796D" w:rsidRDefault="000B796D" w:rsidP="002524B3">
      <w:r>
        <w:t xml:space="preserve">(8) </w:t>
      </w:r>
      <w:r>
        <w:rPr>
          <w:i/>
          <w:iCs/>
        </w:rPr>
        <w:t>Problems.</w:t>
      </w:r>
      <w:r>
        <w:t xml:space="preserve"> (ii) At a minimum, the standard specified in § 170.207(a</w:t>
      </w:r>
      <w:proofErr w:type="gramStart"/>
      <w:r>
        <w:t>)(</w:t>
      </w:r>
      <w:proofErr w:type="gramEnd"/>
      <w:r>
        <w:t xml:space="preserve">4). </w:t>
      </w:r>
    </w:p>
    <w:p w:rsidR="000B796D" w:rsidRDefault="000B796D" w:rsidP="002524B3">
      <w:r>
        <w:t xml:space="preserve">(9) </w:t>
      </w:r>
      <w:r>
        <w:rPr>
          <w:i/>
          <w:iCs/>
        </w:rPr>
        <w:t>Medications.</w:t>
      </w:r>
      <w:r>
        <w:t xml:space="preserve"> (ii) At a minimum, the standard specified in § 170.207(d</w:t>
      </w:r>
      <w:proofErr w:type="gramStart"/>
      <w:r>
        <w:t>)(</w:t>
      </w:r>
      <w:proofErr w:type="gramEnd"/>
      <w:r>
        <w:t xml:space="preserve">3). </w:t>
      </w:r>
    </w:p>
    <w:p w:rsidR="000B796D" w:rsidRDefault="000B796D" w:rsidP="002524B3">
      <w:r>
        <w:t xml:space="preserve">(10) </w:t>
      </w:r>
      <w:r>
        <w:rPr>
          <w:i/>
          <w:iCs/>
        </w:rPr>
        <w:t>Medication allergies.</w:t>
      </w:r>
      <w:r>
        <w:t xml:space="preserve"> (ii) At a minimum, the standard specified in § 170.207(d</w:t>
      </w:r>
      <w:proofErr w:type="gramStart"/>
      <w:r>
        <w:t>)(</w:t>
      </w:r>
      <w:proofErr w:type="gramEnd"/>
      <w:r>
        <w:t>3).</w:t>
      </w:r>
    </w:p>
    <w:p w:rsidR="000B796D" w:rsidRDefault="000B796D" w:rsidP="002524B3">
      <w:r>
        <w:t xml:space="preserve">(11) </w:t>
      </w:r>
      <w:r>
        <w:rPr>
          <w:i/>
          <w:iCs/>
        </w:rPr>
        <w:t>Laboratory test(s).</w:t>
      </w:r>
      <w:r>
        <w:t xml:space="preserve"> (ii) At a minimum, the standard specified in § 170.207(c</w:t>
      </w:r>
      <w:proofErr w:type="gramStart"/>
      <w:r>
        <w:t>)(</w:t>
      </w:r>
      <w:proofErr w:type="gramEnd"/>
      <w:r>
        <w:t>3).</w:t>
      </w:r>
    </w:p>
    <w:p w:rsidR="000B796D" w:rsidRDefault="000B796D" w:rsidP="002524B3">
      <w:r>
        <w:t xml:space="preserve">(12) </w:t>
      </w:r>
      <w:r>
        <w:rPr>
          <w:i/>
          <w:iCs/>
        </w:rPr>
        <w:t>Laboratory value(s)/result(s).</w:t>
      </w:r>
      <w:r>
        <w:t xml:space="preserve"> </w:t>
      </w:r>
    </w:p>
    <w:p w:rsidR="000B796D" w:rsidRDefault="000B796D" w:rsidP="002524B3">
      <w:r>
        <w:t xml:space="preserve">(13) </w:t>
      </w:r>
      <w:r>
        <w:rPr>
          <w:i/>
          <w:iCs/>
        </w:rPr>
        <w:t>Vital signs.</w:t>
      </w:r>
      <w:r>
        <w:t xml:space="preserve"> (ii) For certification to the 2015 Edition Health IT certification criteria:</w:t>
      </w:r>
    </w:p>
    <w:p w:rsidR="000B796D" w:rsidRDefault="000B796D" w:rsidP="002524B3">
      <w:r>
        <w:t>(A) The patient's diastolic blood pressure, systolic blood pressure, body height, body weight, heart rate, respiratory rate, body temperature, pulse oximetry, and inhaled oxygen concentration must be exchanged in numerical values only; and</w:t>
      </w:r>
    </w:p>
    <w:p w:rsidR="000B796D" w:rsidRDefault="000B796D" w:rsidP="002524B3">
      <w:r>
        <w:t>(B) In accordance with the standard specified in § 170.207(c</w:t>
      </w:r>
      <w:proofErr w:type="gramStart"/>
      <w:r>
        <w:t>)(</w:t>
      </w:r>
      <w:proofErr w:type="gramEnd"/>
      <w:r>
        <w:t>3) and with the associated applicable unit of measure for the vital sign measurement in the standard specified in § 170.207(m)(1).</w:t>
      </w:r>
    </w:p>
    <w:p w:rsidR="000B796D" w:rsidRDefault="000B796D" w:rsidP="002524B3">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t>)(</w:t>
      </w:r>
      <w:proofErr w:type="gramEnd"/>
      <w:r>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0B796D" w:rsidRDefault="000B796D" w:rsidP="002524B3">
      <w:r>
        <w:t xml:space="preserve">(15) </w:t>
      </w:r>
      <w:r>
        <w:rPr>
          <w:i/>
          <w:iCs/>
        </w:rPr>
        <w:t>Procedures</w:t>
      </w:r>
      <w:r>
        <w:t>—(</w:t>
      </w:r>
      <w:proofErr w:type="spellStart"/>
      <w:r>
        <w:t>i</w:t>
      </w:r>
      <w:proofErr w:type="spellEnd"/>
      <w:proofErr w:type="gramStart"/>
      <w:r>
        <w:t>)(</w:t>
      </w:r>
      <w:proofErr w:type="gramEnd"/>
      <w:r>
        <w:t>A) At a minimum, the version of the standard specified in § 170.207(a)(4), or § 170.207(b)(2); or</w:t>
      </w:r>
    </w:p>
    <w:p w:rsidR="000B796D" w:rsidRDefault="000B796D" w:rsidP="002524B3">
      <w:r>
        <w:t>(B) For technology primarily developed to record dental procedures, the standard specified in § 170.207(b</w:t>
      </w:r>
      <w:proofErr w:type="gramStart"/>
      <w:r>
        <w:t>)(</w:t>
      </w:r>
      <w:proofErr w:type="gramEnd"/>
      <w:r>
        <w:t>3).</w:t>
      </w:r>
    </w:p>
    <w:p w:rsidR="000B796D" w:rsidRDefault="000B796D" w:rsidP="002524B3">
      <w:r>
        <w:t xml:space="preserve">(ii) </w:t>
      </w:r>
      <w:r>
        <w:rPr>
          <w:i/>
          <w:iCs/>
        </w:rPr>
        <w:t>Optional.</w:t>
      </w:r>
      <w:r>
        <w:t xml:space="preserve"> The standard specified in § 170.207(b</w:t>
      </w:r>
      <w:proofErr w:type="gramStart"/>
      <w:r>
        <w:t>)(</w:t>
      </w:r>
      <w:proofErr w:type="gramEnd"/>
      <w:r>
        <w:t>4).</w:t>
      </w:r>
    </w:p>
    <w:p w:rsidR="000B796D" w:rsidRDefault="000B796D" w:rsidP="002524B3">
      <w:r>
        <w:t xml:space="preserve">(16) </w:t>
      </w:r>
      <w:r>
        <w:rPr>
          <w:i/>
          <w:iCs/>
        </w:rPr>
        <w:t>Care team member(s).</w:t>
      </w:r>
      <w:r>
        <w:t xml:space="preserve"> </w:t>
      </w:r>
    </w:p>
    <w:p w:rsidR="000B796D" w:rsidRDefault="000B796D" w:rsidP="002524B3">
      <w:r>
        <w:t xml:space="preserve">(17) </w:t>
      </w:r>
      <w:r>
        <w:rPr>
          <w:i/>
          <w:iCs/>
        </w:rPr>
        <w:t>Immunizations.</w:t>
      </w:r>
      <w:r>
        <w:t xml:space="preserve"> In accordance with, at a minimum, the standards specified in § 170.207(e</w:t>
      </w:r>
      <w:proofErr w:type="gramStart"/>
      <w:r>
        <w:t>)(</w:t>
      </w:r>
      <w:proofErr w:type="gramEnd"/>
      <w:r>
        <w:t>3) and (4).</w:t>
      </w:r>
    </w:p>
    <w:p w:rsidR="000B796D" w:rsidRDefault="000B796D" w:rsidP="002524B3">
      <w:r>
        <w:t xml:space="preserve">(18) </w:t>
      </w:r>
      <w:r>
        <w:rPr>
          <w:i/>
          <w:iCs/>
        </w:rPr>
        <w:t>Unique device identifier(s) for a patient's implantable device(s).</w:t>
      </w:r>
      <w:r>
        <w:t xml:space="preserve"> In accordance with the “Product Instance” in the “Procedure Activity Procedure Section” of the standard specified in § 170.205(a</w:t>
      </w:r>
      <w:proofErr w:type="gramStart"/>
      <w:r>
        <w:t>)(</w:t>
      </w:r>
      <w:proofErr w:type="gramEnd"/>
      <w:r>
        <w:t>4).</w:t>
      </w:r>
    </w:p>
    <w:p w:rsidR="000B796D" w:rsidRDefault="000B796D" w:rsidP="002524B3">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w:t>
      </w:r>
      <w:proofErr w:type="gramStart"/>
      <w:r>
        <w:t>)(</w:t>
      </w:r>
      <w:proofErr w:type="gramEnd"/>
      <w:r>
        <w:t>4); or</w:t>
      </w:r>
    </w:p>
    <w:p w:rsidR="000B796D" w:rsidRDefault="000B796D" w:rsidP="002524B3">
      <w:r>
        <w:lastRenderedPageBreak/>
        <w:t>(ii) In accordance with the “Assessment Section (V2)” and “Plan of Treatment Section (V2)” of the standard specified in § 170.205(a</w:t>
      </w:r>
      <w:proofErr w:type="gramStart"/>
      <w:r>
        <w:t>)(</w:t>
      </w:r>
      <w:proofErr w:type="gramEnd"/>
      <w:r>
        <w:t>4).</w:t>
      </w:r>
    </w:p>
    <w:p w:rsidR="000B796D" w:rsidRDefault="000B796D" w:rsidP="002524B3">
      <w:r>
        <w:t xml:space="preserve">(20) </w:t>
      </w:r>
      <w:r>
        <w:rPr>
          <w:i/>
          <w:iCs/>
        </w:rPr>
        <w:t>Goals.</w:t>
      </w:r>
      <w:r>
        <w:t xml:space="preserve"> In accordance with the “Goals Section” of the standard specified in § 170.205(a</w:t>
      </w:r>
      <w:proofErr w:type="gramStart"/>
      <w:r>
        <w:t>)(</w:t>
      </w:r>
      <w:proofErr w:type="gramEnd"/>
      <w:r>
        <w:t>4).</w:t>
      </w:r>
    </w:p>
    <w:p w:rsidR="000B796D" w:rsidRDefault="000B796D" w:rsidP="002524B3">
      <w:r>
        <w:t xml:space="preserve">(21) </w:t>
      </w:r>
      <w:r>
        <w:rPr>
          <w:i/>
          <w:iCs/>
        </w:rPr>
        <w:t>Health concerns.</w:t>
      </w:r>
      <w:r>
        <w:t xml:space="preserve"> In accordance with the “Health Concerns Section” of the standard specified in § 170.205(a</w:t>
      </w:r>
      <w:proofErr w:type="gramStart"/>
      <w:r>
        <w:t>)(</w:t>
      </w:r>
      <w:proofErr w:type="gramEnd"/>
      <w:r>
        <w:t>4).</w:t>
      </w:r>
    </w:p>
    <w:p w:rsidR="000B796D" w:rsidRDefault="000B796D" w:rsidP="002524B3">
      <w:pPr>
        <w:rPr>
          <w:b/>
        </w:rPr>
      </w:pPr>
    </w:p>
    <w:p w:rsidR="000B796D" w:rsidRPr="00A272C2" w:rsidRDefault="000B796D" w:rsidP="002524B3">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0B796D" w:rsidRPr="00E074CB" w:rsidRDefault="000B796D" w:rsidP="002524B3">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0B796D" w:rsidRPr="00E074CB" w:rsidRDefault="000B796D" w:rsidP="002524B3">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0B796D" w:rsidRPr="00A272C2" w:rsidRDefault="000B796D" w:rsidP="002524B3">
      <w:pPr>
        <w:rPr>
          <w:b/>
          <w:color w:val="000000" w:themeColor="text1"/>
        </w:rPr>
      </w:pPr>
    </w:p>
    <w:p w:rsidR="000B796D" w:rsidRPr="00A272C2" w:rsidRDefault="000B796D" w:rsidP="002524B3">
      <w:pPr>
        <w:rPr>
          <w:b/>
          <w:color w:val="000000" w:themeColor="text1"/>
        </w:rPr>
      </w:pPr>
      <w:r w:rsidRPr="00A272C2">
        <w:rPr>
          <w:b/>
          <w:color w:val="000000" w:themeColor="text1"/>
        </w:rPr>
        <w:t>§170.207   Vocabulary standards for representing electronic health information.</w:t>
      </w:r>
    </w:p>
    <w:p w:rsidR="000B796D" w:rsidRDefault="000B796D" w:rsidP="002524B3">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0B796D" w:rsidRPr="00150564" w:rsidRDefault="000B796D" w:rsidP="002524B3">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w:t>
      </w:r>
      <w:proofErr w:type="gramStart"/>
      <w:r w:rsidRPr="00150564">
        <w:t>)(</w:t>
      </w:r>
      <w:proofErr w:type="gramEnd"/>
      <w:r w:rsidRPr="00150564">
        <w:t>5)—combination of HCPCS and CPT-4</w:t>
      </w:r>
    </w:p>
    <w:p w:rsidR="000B796D" w:rsidRPr="00150564" w:rsidRDefault="000B796D" w:rsidP="002524B3">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w:t>
      </w:r>
      <w:proofErr w:type="gramStart"/>
      <w:r w:rsidRPr="00150564">
        <w:t>)(</w:t>
      </w:r>
      <w:proofErr w:type="gramEnd"/>
      <w:r w:rsidRPr="00150564">
        <w:t>4)—Code on Dental Procedures and Nomenclature.</w:t>
      </w:r>
    </w:p>
    <w:p w:rsidR="000B796D" w:rsidRDefault="000B796D" w:rsidP="002524B3">
      <w:r w:rsidRPr="00A55F60">
        <w:rPr>
          <w:b/>
        </w:rPr>
        <w:t xml:space="preserve">(b)(4)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162.1002(c</w:t>
      </w:r>
      <w:proofErr w:type="gramStart"/>
      <w:r w:rsidRPr="00150564">
        <w:t>)(</w:t>
      </w:r>
      <w:proofErr w:type="gramEnd"/>
      <w:r w:rsidRPr="00150564">
        <w:t>3)—ICD-10-PCS</w:t>
      </w:r>
    </w:p>
    <w:p w:rsidR="000B796D" w:rsidRDefault="000B796D" w:rsidP="002524B3">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0B796D" w:rsidRDefault="000B796D" w:rsidP="002524B3">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proofErr w:type="spellStart"/>
      <w:r w:rsidRPr="00FA5428">
        <w:t>RxNorm</w:t>
      </w:r>
      <w:proofErr w:type="spellEnd"/>
      <w:r w:rsidRPr="00FA5428">
        <w:t>,</w:t>
      </w:r>
      <w:r>
        <w:t xml:space="preserve"> </w:t>
      </w:r>
      <w:r w:rsidRPr="009B4CE2">
        <w:t>September 8, 2015 Release</w:t>
      </w:r>
      <w:r w:rsidRPr="00FA5428">
        <w:t>.</w:t>
      </w:r>
    </w:p>
    <w:p w:rsidR="000B796D" w:rsidRDefault="000B796D" w:rsidP="002524B3">
      <w:r w:rsidRPr="00A55F60">
        <w:rPr>
          <w:b/>
        </w:rPr>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0B796D" w:rsidRDefault="000B796D" w:rsidP="002524B3">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0B796D" w:rsidRDefault="000B796D" w:rsidP="002524B3">
      <w:r>
        <w:rPr>
          <w:b/>
        </w:rPr>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0B796D" w:rsidRDefault="000B796D" w:rsidP="002524B3">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0B796D" w:rsidRDefault="000B796D" w:rsidP="002524B3">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0B796D" w:rsidRDefault="000B796D" w:rsidP="002524B3">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0B796D" w:rsidRDefault="000B796D" w:rsidP="002524B3">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0B796D" w:rsidRPr="00AF0913" w:rsidRDefault="000B796D" w:rsidP="002524B3">
      <w:r w:rsidRPr="00A55F60">
        <w:rPr>
          <w:b/>
          <w:i/>
        </w:rPr>
        <w:t>(m) Numerical references—(1) Standard.</w:t>
      </w:r>
      <w:r w:rsidRPr="00AA3E4F">
        <w:t xml:space="preserve"> The Unified Code of Units of Measure, Revision 1.9 (incorporated by reference in § 170.299).</w:t>
      </w:r>
    </w:p>
    <w:p w:rsidR="000B796D" w:rsidRDefault="000B796D" w:rsidP="002524B3">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0B796D" w:rsidRDefault="000B796D" w:rsidP="002524B3">
      <w:r>
        <w:t>(</w:t>
      </w:r>
      <w:proofErr w:type="spellStart"/>
      <w:r>
        <w:t>i</w:t>
      </w:r>
      <w:proofErr w:type="spellEnd"/>
      <w:r>
        <w:t>) Male. M</w:t>
      </w:r>
    </w:p>
    <w:p w:rsidR="000B796D" w:rsidRDefault="000B796D" w:rsidP="002524B3">
      <w:r>
        <w:lastRenderedPageBreak/>
        <w:t>(ii) Female. F</w:t>
      </w:r>
    </w:p>
    <w:p w:rsidR="000B796D" w:rsidRDefault="000B796D" w:rsidP="002524B3">
      <w:r>
        <w:t xml:space="preserve">(iii) Unknown. </w:t>
      </w:r>
      <w:proofErr w:type="spellStart"/>
      <w:proofErr w:type="gramStart"/>
      <w:r>
        <w:t>nullFlavor</w:t>
      </w:r>
      <w:proofErr w:type="spellEnd"/>
      <w:proofErr w:type="gramEnd"/>
      <w:r>
        <w:t xml:space="preserve"> UNK</w:t>
      </w:r>
    </w:p>
    <w:p w:rsidR="000B796D" w:rsidRDefault="000B796D" w:rsidP="002524B3"/>
    <w:p w:rsidR="000B796D" w:rsidRPr="00EF4CC5" w:rsidRDefault="000B796D" w:rsidP="002524B3">
      <w:pPr>
        <w:rPr>
          <w:b/>
        </w:rPr>
      </w:pPr>
      <w:r w:rsidRPr="00935E7F">
        <w:rPr>
          <w:b/>
        </w:rPr>
        <w:t>§170.210   Standards for health information technology to protect electronic health information created, maintained, and exchanged.</w:t>
      </w:r>
    </w:p>
    <w:p w:rsidR="000B796D" w:rsidRDefault="000B796D" w:rsidP="002524B3">
      <w:r w:rsidRPr="00EF4CC5">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0B796D">
      <w:pPr>
        <w:pStyle w:val="NormalWeb"/>
      </w:pP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1" w:name="_Toc432066412"/>
      <w:bookmarkEnd w:id="2"/>
      <w:r>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9451C9">
        <w:tc>
          <w:tcPr>
            <w:tcW w:w="2052" w:type="dxa"/>
          </w:tcPr>
          <w:p w:rsidR="00362E3C" w:rsidRDefault="00362E3C" w:rsidP="004A3AA7">
            <w:r>
              <w:t>Revision</w:t>
            </w:r>
          </w:p>
        </w:tc>
        <w:tc>
          <w:tcPr>
            <w:tcW w:w="6578" w:type="dxa"/>
          </w:tcPr>
          <w:p w:rsidR="00362E3C" w:rsidRDefault="00362E3C" w:rsidP="004A3AA7">
            <w:r>
              <w:t>Change Description</w:t>
            </w:r>
          </w:p>
        </w:tc>
      </w:tr>
      <w:tr w:rsidR="00362E3C" w:rsidTr="009451C9">
        <w:tc>
          <w:tcPr>
            <w:tcW w:w="2052" w:type="dxa"/>
          </w:tcPr>
          <w:p w:rsidR="00362E3C" w:rsidRDefault="005D7663" w:rsidP="001C23FD">
            <w:r>
              <w:t>01-Oct-2016</w:t>
            </w:r>
          </w:p>
        </w:tc>
        <w:tc>
          <w:tcPr>
            <w:tcW w:w="6578" w:type="dxa"/>
          </w:tcPr>
          <w:p w:rsidR="00362E3C" w:rsidRDefault="005D7663" w:rsidP="009451C9">
            <w:r>
              <w:t>Updated hyperlinks for ONC-hosted ETT.</w:t>
            </w:r>
            <w:r w:rsidR="00F120C8">
              <w:t xml:space="preserve">  Updated ETT test data filenames.</w:t>
            </w:r>
            <w:bookmarkStart w:id="12" w:name="_GoBack"/>
            <w:bookmarkEnd w:id="12"/>
          </w:p>
        </w:tc>
      </w:tr>
      <w:tr w:rsidR="005D7663" w:rsidTr="009451C9">
        <w:tc>
          <w:tcPr>
            <w:tcW w:w="2052" w:type="dxa"/>
          </w:tcPr>
          <w:p w:rsidR="005D7663" w:rsidRDefault="005D7663" w:rsidP="005D7663">
            <w:r>
              <w:t>01-Jun-2016</w:t>
            </w:r>
          </w:p>
        </w:tc>
        <w:tc>
          <w:tcPr>
            <w:tcW w:w="6578" w:type="dxa"/>
          </w:tcPr>
          <w:p w:rsidR="005D7663" w:rsidRDefault="005D7663" w:rsidP="005D7663">
            <w:r>
              <w:t>Added hyperlinks to standards list.</w:t>
            </w:r>
          </w:p>
        </w:tc>
      </w:tr>
      <w:tr w:rsidR="005D7663" w:rsidTr="009451C9">
        <w:tc>
          <w:tcPr>
            <w:tcW w:w="2052" w:type="dxa"/>
          </w:tcPr>
          <w:p w:rsidR="005D7663" w:rsidRDefault="005D7663" w:rsidP="005D7663">
            <w:r>
              <w:t>01-May-2016</w:t>
            </w:r>
          </w:p>
        </w:tc>
        <w:tc>
          <w:tcPr>
            <w:tcW w:w="6578" w:type="dxa"/>
          </w:tcPr>
          <w:p w:rsidR="005D7663" w:rsidRDefault="005D7663" w:rsidP="005D7663">
            <w:r>
              <w:t>Corrected Race and Ethnicity entries on “CCDS Reference Table” to clarify 170.207(f</w:t>
            </w:r>
            <w:proofErr w:type="gramStart"/>
            <w:r>
              <w:t>)(</w:t>
            </w:r>
            <w:proofErr w:type="gramEnd"/>
            <w:r>
              <w:t xml:space="preserve">2) should be mapped to 170.207(f)(1).  </w:t>
            </w:r>
          </w:p>
        </w:tc>
      </w:tr>
      <w:tr w:rsidR="005D7663" w:rsidTr="009451C9">
        <w:tc>
          <w:tcPr>
            <w:tcW w:w="2052" w:type="dxa"/>
          </w:tcPr>
          <w:p w:rsidR="005D7663" w:rsidRDefault="005D7663" w:rsidP="005D7663">
            <w:r>
              <w:t>01-Mar-2016</w:t>
            </w:r>
          </w:p>
        </w:tc>
        <w:tc>
          <w:tcPr>
            <w:tcW w:w="6578" w:type="dxa"/>
          </w:tcPr>
          <w:p w:rsidR="005D7663" w:rsidRDefault="005D7663" w:rsidP="005D7663">
            <w:r>
              <w:t>Initial Release.</w:t>
            </w:r>
          </w:p>
        </w:tc>
      </w:tr>
      <w:tr w:rsidR="005D7663" w:rsidTr="009451C9">
        <w:tc>
          <w:tcPr>
            <w:tcW w:w="2052" w:type="dxa"/>
          </w:tcPr>
          <w:p w:rsidR="005D7663" w:rsidRDefault="005D7663" w:rsidP="005D7663"/>
        </w:tc>
        <w:tc>
          <w:tcPr>
            <w:tcW w:w="6578" w:type="dxa"/>
          </w:tcPr>
          <w:p w:rsidR="005D7663" w:rsidRDefault="005D7663" w:rsidP="005D7663"/>
        </w:tc>
      </w:tr>
      <w:tr w:rsidR="005D7663" w:rsidTr="009451C9">
        <w:tc>
          <w:tcPr>
            <w:tcW w:w="2052" w:type="dxa"/>
          </w:tcPr>
          <w:p w:rsidR="005D7663" w:rsidRDefault="005D7663" w:rsidP="005D7663"/>
        </w:tc>
        <w:tc>
          <w:tcPr>
            <w:tcW w:w="6578" w:type="dxa"/>
          </w:tcPr>
          <w:p w:rsidR="005D7663" w:rsidRDefault="005D7663" w:rsidP="005D7663"/>
        </w:tc>
      </w:tr>
      <w:tr w:rsidR="005D7663" w:rsidTr="009451C9">
        <w:tc>
          <w:tcPr>
            <w:tcW w:w="2052" w:type="dxa"/>
          </w:tcPr>
          <w:p w:rsidR="005D7663" w:rsidRDefault="005D7663" w:rsidP="005D7663"/>
        </w:tc>
        <w:tc>
          <w:tcPr>
            <w:tcW w:w="6578" w:type="dxa"/>
          </w:tcPr>
          <w:p w:rsidR="005D7663" w:rsidRDefault="005D7663" w:rsidP="005D7663"/>
        </w:tc>
      </w:tr>
      <w:tr w:rsidR="005D7663" w:rsidTr="009451C9">
        <w:tc>
          <w:tcPr>
            <w:tcW w:w="2052" w:type="dxa"/>
          </w:tcPr>
          <w:p w:rsidR="005D7663" w:rsidRDefault="005D7663" w:rsidP="005D7663"/>
        </w:tc>
        <w:tc>
          <w:tcPr>
            <w:tcW w:w="6578" w:type="dxa"/>
          </w:tcPr>
          <w:p w:rsidR="005D7663" w:rsidRDefault="005D7663" w:rsidP="005D7663"/>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481B58">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6"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7"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8"/>
      <w:headerReference w:type="default" r:id="rId19"/>
      <w:footerReference w:type="default" r:id="rId20"/>
      <w:head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2F4" w:rsidRDefault="008202F4">
      <w:r>
        <w:separator/>
      </w:r>
    </w:p>
  </w:endnote>
  <w:endnote w:type="continuationSeparator" w:id="0">
    <w:p w:rsidR="008202F4" w:rsidRDefault="0082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Leelawadee">
    <w:altName w:val="Segoe UI"/>
    <w:panose1 w:val="020B0502040204020203"/>
    <w:charset w:val="00"/>
    <w:family w:val="roman"/>
    <w:notTrueType/>
    <w:pitch w:val="default"/>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52" w:rsidRDefault="00940152" w:rsidP="0041704D">
    <w:pPr>
      <w:pStyle w:val="Footer"/>
      <w:jc w:val="right"/>
      <w:rPr>
        <w:b/>
        <w:color w:val="000000"/>
        <w:sz w:val="16"/>
        <w:szCs w:val="16"/>
      </w:rPr>
    </w:pPr>
    <w:r>
      <w:rPr>
        <w:b/>
        <w:color w:val="000000"/>
        <w:sz w:val="16"/>
        <w:szCs w:val="16"/>
      </w:rPr>
      <w:t xml:space="preserve">Rev.: </w:t>
    </w:r>
    <w:r w:rsidRPr="000561CE">
      <w:rPr>
        <w:b/>
        <w:color w:val="000000"/>
        <w:sz w:val="16"/>
        <w:szCs w:val="16"/>
      </w:rPr>
      <w:t>01</w:t>
    </w:r>
    <w:r w:rsidR="005D7663">
      <w:rPr>
        <w:b/>
        <w:color w:val="000000"/>
        <w:sz w:val="16"/>
        <w:szCs w:val="16"/>
      </w:rPr>
      <w:t>Oct</w:t>
    </w:r>
    <w:r w:rsidRPr="000561CE">
      <w:rPr>
        <w:b/>
        <w:color w:val="000000"/>
        <w:sz w:val="16"/>
        <w:szCs w:val="16"/>
      </w:rPr>
      <w:t>2016</w:t>
    </w:r>
  </w:p>
  <w:p w:rsidR="00940152" w:rsidRDefault="00940152" w:rsidP="0041704D">
    <w:pPr>
      <w:pStyle w:val="Footer"/>
      <w:jc w:val="right"/>
      <w:rPr>
        <w:b/>
        <w:color w:val="000000"/>
        <w:sz w:val="16"/>
        <w:szCs w:val="16"/>
      </w:rPr>
    </w:pPr>
    <w:r>
      <w:rPr>
        <w:b/>
        <w:color w:val="000000"/>
        <w:sz w:val="16"/>
        <w:szCs w:val="16"/>
      </w:rPr>
      <w:t>EHR Test -155</w:t>
    </w:r>
  </w:p>
  <w:p w:rsidR="00940152" w:rsidRDefault="00940152"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F120C8">
      <w:rPr>
        <w:b/>
        <w:noProof/>
        <w:sz w:val="16"/>
        <w:szCs w:val="16"/>
      </w:rPr>
      <w:t>17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F120C8">
      <w:rPr>
        <w:b/>
        <w:noProof/>
        <w:sz w:val="16"/>
        <w:szCs w:val="16"/>
      </w:rPr>
      <w:t>18</w:t>
    </w:r>
    <w:r>
      <w:rPr>
        <w:b/>
        <w:sz w:val="16"/>
        <w:szCs w:val="16"/>
      </w:rPr>
      <w:fldChar w:fldCharType="end"/>
    </w:r>
  </w:p>
  <w:p w:rsidR="00940152" w:rsidRPr="006A0231" w:rsidRDefault="00940152" w:rsidP="00D63A5B">
    <w:pPr>
      <w:jc w:val="center"/>
      <w:rPr>
        <w:sz w:val="20"/>
        <w:szCs w:val="20"/>
      </w:rPr>
    </w:pPr>
    <w:r w:rsidRPr="006A0231">
      <w:rPr>
        <w:sz w:val="20"/>
        <w:szCs w:val="20"/>
      </w:rPr>
      <w:t>Copyright © 201</w:t>
    </w:r>
    <w:r w:rsidR="00481B58">
      <w:rPr>
        <w:sz w:val="20"/>
        <w:szCs w:val="20"/>
      </w:rPr>
      <w:t>6</w:t>
    </w:r>
    <w:r w:rsidRPr="006A0231">
      <w:rPr>
        <w:sz w:val="20"/>
        <w:szCs w:val="20"/>
      </w:rPr>
      <w:t xml:space="preserve"> Drummond Group LLC</w:t>
    </w:r>
  </w:p>
  <w:p w:rsidR="00940152" w:rsidRPr="006A0231" w:rsidRDefault="00940152"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2F4" w:rsidRDefault="008202F4">
      <w:r>
        <w:separator/>
      </w:r>
    </w:p>
  </w:footnote>
  <w:footnote w:type="continuationSeparator" w:id="0">
    <w:p w:rsidR="008202F4" w:rsidRDefault="00820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52" w:rsidRDefault="008202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52" w:rsidRDefault="008202F4"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94015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940152" w:rsidRPr="00A9582F">
      <w:rPr>
        <w:b/>
        <w:color w:val="000000"/>
        <w:sz w:val="32"/>
        <w:szCs w:val="32"/>
      </w:rPr>
      <w:t xml:space="preserve"> </w:t>
    </w:r>
    <w:r w:rsidR="00940152">
      <w:rPr>
        <w:b/>
        <w:color w:val="000000"/>
        <w:sz w:val="32"/>
        <w:szCs w:val="32"/>
      </w:rPr>
      <w:t xml:space="preserve">            </w:t>
    </w:r>
    <w:r w:rsidR="00940152" w:rsidRPr="00F67C18">
      <w:rPr>
        <w:b/>
        <w:color w:val="000000"/>
      </w:rPr>
      <w:t>170.315</w:t>
    </w:r>
    <w:proofErr w:type="gramStart"/>
    <w:r w:rsidR="00940152" w:rsidRPr="00F67C18">
      <w:rPr>
        <w:b/>
        <w:color w:val="000000"/>
      </w:rPr>
      <w:t>.</w:t>
    </w:r>
    <w:r w:rsidR="00940152">
      <w:rPr>
        <w:b/>
        <w:color w:val="000000"/>
      </w:rPr>
      <w:t>b.4</w:t>
    </w:r>
    <w:proofErr w:type="gramEnd"/>
    <w:r w:rsidR="00940152" w:rsidRPr="00F67C18">
      <w:rPr>
        <w:b/>
        <w:color w:val="000000"/>
      </w:rPr>
      <w:t xml:space="preserve"> </w:t>
    </w:r>
    <w:r w:rsidR="00940152">
      <w:rPr>
        <w:b/>
        <w:color w:val="000000"/>
      </w:rPr>
      <w:t>CCDS Summary Record - Create PS</w:t>
    </w:r>
  </w:p>
  <w:p w:rsidR="00940152" w:rsidRPr="00450818" w:rsidRDefault="00940152"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52" w:rsidRDefault="008202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2B21"/>
    <w:multiLevelType w:val="hybridMultilevel"/>
    <w:tmpl w:val="A69AFEE2"/>
    <w:lvl w:ilvl="0" w:tplc="04090003">
      <w:start w:val="1"/>
      <w:numFmt w:val="bullet"/>
      <w:lvlText w:val="o"/>
      <w:lvlJc w:val="left"/>
      <w:pPr>
        <w:ind w:left="1440" w:hanging="720"/>
      </w:pPr>
      <w:rPr>
        <w:rFonts w:ascii="Courier New" w:hAnsi="Courier New" w:cs="Courier New" w:hint="default"/>
      </w:rPr>
    </w:lvl>
    <w:lvl w:ilvl="1" w:tplc="A96E67F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CE30EC"/>
    <w:multiLevelType w:val="hybridMultilevel"/>
    <w:tmpl w:val="0FB270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435CC"/>
    <w:multiLevelType w:val="hybridMultilevel"/>
    <w:tmpl w:val="306C0460"/>
    <w:lvl w:ilvl="0" w:tplc="60D42786">
      <w:start w:val="1"/>
      <w:numFmt w:val="lowerRoman"/>
      <w:lvlText w:val="%1."/>
      <w:lvlJc w:val="left"/>
      <w:pPr>
        <w:ind w:left="3222" w:hanging="360"/>
      </w:pPr>
      <w:rPr>
        <w:rFonts w:hint="default"/>
      </w:rPr>
    </w:lvl>
    <w:lvl w:ilvl="1" w:tplc="60D42786">
      <w:start w:val="1"/>
      <w:numFmt w:val="lowerRoman"/>
      <w:lvlText w:val="%2."/>
      <w:lvlJc w:val="left"/>
      <w:pPr>
        <w:ind w:left="3942" w:hanging="360"/>
      </w:pPr>
      <w:rPr>
        <w:rFonts w:hint="default"/>
      </w:rPr>
    </w:lvl>
    <w:lvl w:ilvl="2" w:tplc="0409001B" w:tentative="1">
      <w:start w:val="1"/>
      <w:numFmt w:val="lowerRoman"/>
      <w:lvlText w:val="%3."/>
      <w:lvlJc w:val="right"/>
      <w:pPr>
        <w:ind w:left="4662" w:hanging="180"/>
      </w:pPr>
    </w:lvl>
    <w:lvl w:ilvl="3" w:tplc="0409000F" w:tentative="1">
      <w:start w:val="1"/>
      <w:numFmt w:val="decimal"/>
      <w:lvlText w:val="%4."/>
      <w:lvlJc w:val="left"/>
      <w:pPr>
        <w:ind w:left="5382" w:hanging="360"/>
      </w:pPr>
    </w:lvl>
    <w:lvl w:ilvl="4" w:tplc="04090019" w:tentative="1">
      <w:start w:val="1"/>
      <w:numFmt w:val="lowerLetter"/>
      <w:lvlText w:val="%5."/>
      <w:lvlJc w:val="left"/>
      <w:pPr>
        <w:ind w:left="6102" w:hanging="360"/>
      </w:pPr>
    </w:lvl>
    <w:lvl w:ilvl="5" w:tplc="0409001B" w:tentative="1">
      <w:start w:val="1"/>
      <w:numFmt w:val="lowerRoman"/>
      <w:lvlText w:val="%6."/>
      <w:lvlJc w:val="right"/>
      <w:pPr>
        <w:ind w:left="6822" w:hanging="180"/>
      </w:pPr>
    </w:lvl>
    <w:lvl w:ilvl="6" w:tplc="0409000F" w:tentative="1">
      <w:start w:val="1"/>
      <w:numFmt w:val="decimal"/>
      <w:lvlText w:val="%7."/>
      <w:lvlJc w:val="left"/>
      <w:pPr>
        <w:ind w:left="7542" w:hanging="360"/>
      </w:pPr>
    </w:lvl>
    <w:lvl w:ilvl="7" w:tplc="04090019" w:tentative="1">
      <w:start w:val="1"/>
      <w:numFmt w:val="lowerLetter"/>
      <w:lvlText w:val="%8."/>
      <w:lvlJc w:val="left"/>
      <w:pPr>
        <w:ind w:left="8262" w:hanging="360"/>
      </w:pPr>
    </w:lvl>
    <w:lvl w:ilvl="8" w:tplc="0409001B" w:tentative="1">
      <w:start w:val="1"/>
      <w:numFmt w:val="lowerRoman"/>
      <w:lvlText w:val="%9."/>
      <w:lvlJc w:val="right"/>
      <w:pPr>
        <w:ind w:left="8982" w:hanging="180"/>
      </w:pPr>
    </w:lvl>
  </w:abstractNum>
  <w:abstractNum w:abstractNumId="5"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BF379F3"/>
    <w:multiLevelType w:val="hybridMultilevel"/>
    <w:tmpl w:val="A58ED318"/>
    <w:lvl w:ilvl="0" w:tplc="5C2C7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20106A2"/>
    <w:multiLevelType w:val="hybridMultilevel"/>
    <w:tmpl w:val="2F82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D4C02"/>
    <w:multiLevelType w:val="multilevel"/>
    <w:tmpl w:val="6074C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AE5870"/>
    <w:multiLevelType w:val="hybridMultilevel"/>
    <w:tmpl w:val="270A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2000F70"/>
    <w:multiLevelType w:val="hybridMultilevel"/>
    <w:tmpl w:val="E028FF06"/>
    <w:lvl w:ilvl="0" w:tplc="6914A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1770F"/>
    <w:multiLevelType w:val="hybridMultilevel"/>
    <w:tmpl w:val="A29E33E8"/>
    <w:lvl w:ilvl="0" w:tplc="60D42786">
      <w:start w:val="1"/>
      <w:numFmt w:val="lowerRoman"/>
      <w:lvlText w:val="%1."/>
      <w:lvlJc w:val="left"/>
      <w:pPr>
        <w:ind w:left="3222" w:hanging="360"/>
      </w:pPr>
      <w:rPr>
        <w:rFonts w:hint="default"/>
      </w:rPr>
    </w:lvl>
    <w:lvl w:ilvl="1" w:tplc="04090019">
      <w:start w:val="1"/>
      <w:numFmt w:val="lowerLetter"/>
      <w:lvlText w:val="%2."/>
      <w:lvlJc w:val="left"/>
      <w:pPr>
        <w:ind w:left="3942" w:hanging="360"/>
      </w:pPr>
    </w:lvl>
    <w:lvl w:ilvl="2" w:tplc="0409001B" w:tentative="1">
      <w:start w:val="1"/>
      <w:numFmt w:val="lowerRoman"/>
      <w:lvlText w:val="%3."/>
      <w:lvlJc w:val="right"/>
      <w:pPr>
        <w:ind w:left="4662" w:hanging="180"/>
      </w:pPr>
    </w:lvl>
    <w:lvl w:ilvl="3" w:tplc="0409000F" w:tentative="1">
      <w:start w:val="1"/>
      <w:numFmt w:val="decimal"/>
      <w:lvlText w:val="%4."/>
      <w:lvlJc w:val="left"/>
      <w:pPr>
        <w:ind w:left="5382" w:hanging="360"/>
      </w:pPr>
    </w:lvl>
    <w:lvl w:ilvl="4" w:tplc="04090019" w:tentative="1">
      <w:start w:val="1"/>
      <w:numFmt w:val="lowerLetter"/>
      <w:lvlText w:val="%5."/>
      <w:lvlJc w:val="left"/>
      <w:pPr>
        <w:ind w:left="6102" w:hanging="360"/>
      </w:pPr>
    </w:lvl>
    <w:lvl w:ilvl="5" w:tplc="0409001B" w:tentative="1">
      <w:start w:val="1"/>
      <w:numFmt w:val="lowerRoman"/>
      <w:lvlText w:val="%6."/>
      <w:lvlJc w:val="right"/>
      <w:pPr>
        <w:ind w:left="6822" w:hanging="180"/>
      </w:pPr>
    </w:lvl>
    <w:lvl w:ilvl="6" w:tplc="0409000F" w:tentative="1">
      <w:start w:val="1"/>
      <w:numFmt w:val="decimal"/>
      <w:lvlText w:val="%7."/>
      <w:lvlJc w:val="left"/>
      <w:pPr>
        <w:ind w:left="7542" w:hanging="360"/>
      </w:pPr>
    </w:lvl>
    <w:lvl w:ilvl="7" w:tplc="04090019" w:tentative="1">
      <w:start w:val="1"/>
      <w:numFmt w:val="lowerLetter"/>
      <w:lvlText w:val="%8."/>
      <w:lvlJc w:val="left"/>
      <w:pPr>
        <w:ind w:left="8262" w:hanging="360"/>
      </w:pPr>
    </w:lvl>
    <w:lvl w:ilvl="8" w:tplc="0409001B" w:tentative="1">
      <w:start w:val="1"/>
      <w:numFmt w:val="lowerRoman"/>
      <w:lvlText w:val="%9."/>
      <w:lvlJc w:val="right"/>
      <w:pPr>
        <w:ind w:left="8982" w:hanging="180"/>
      </w:pPr>
    </w:lvl>
  </w:abstractNum>
  <w:abstractNum w:abstractNumId="30"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A94C9C"/>
    <w:multiLevelType w:val="hybridMultilevel"/>
    <w:tmpl w:val="4C442F84"/>
    <w:lvl w:ilvl="0" w:tplc="9B64E0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A72E0"/>
    <w:multiLevelType w:val="hybridMultilevel"/>
    <w:tmpl w:val="3B68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7"/>
  </w:num>
  <w:num w:numId="2">
    <w:abstractNumId w:val="6"/>
  </w:num>
  <w:num w:numId="3">
    <w:abstractNumId w:val="15"/>
  </w:num>
  <w:num w:numId="4">
    <w:abstractNumId w:val="13"/>
  </w:num>
  <w:num w:numId="5">
    <w:abstractNumId w:val="22"/>
  </w:num>
  <w:num w:numId="6">
    <w:abstractNumId w:val="7"/>
  </w:num>
  <w:num w:numId="7">
    <w:abstractNumId w:val="9"/>
  </w:num>
  <w:num w:numId="8">
    <w:abstractNumId w:val="31"/>
  </w:num>
  <w:num w:numId="9">
    <w:abstractNumId w:val="10"/>
  </w:num>
  <w:num w:numId="10">
    <w:abstractNumId w:val="30"/>
  </w:num>
  <w:num w:numId="11">
    <w:abstractNumId w:val="5"/>
  </w:num>
  <w:num w:numId="12">
    <w:abstractNumId w:val="26"/>
  </w:num>
  <w:num w:numId="13">
    <w:abstractNumId w:val="21"/>
  </w:num>
  <w:num w:numId="14">
    <w:abstractNumId w:val="32"/>
  </w:num>
  <w:num w:numId="15">
    <w:abstractNumId w:val="33"/>
  </w:num>
  <w:num w:numId="16">
    <w:abstractNumId w:val="40"/>
  </w:num>
  <w:num w:numId="17">
    <w:abstractNumId w:val="1"/>
  </w:num>
  <w:num w:numId="18">
    <w:abstractNumId w:val="37"/>
  </w:num>
  <w:num w:numId="19">
    <w:abstractNumId w:val="34"/>
  </w:num>
  <w:num w:numId="20">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25"/>
  </w:num>
  <w:num w:numId="24">
    <w:abstractNumId w:val="23"/>
  </w:num>
  <w:num w:numId="25">
    <w:abstractNumId w:val="24"/>
  </w:num>
  <w:num w:numId="26">
    <w:abstractNumId w:val="41"/>
  </w:num>
  <w:num w:numId="27">
    <w:abstractNumId w:val="28"/>
  </w:num>
  <w:num w:numId="28">
    <w:abstractNumId w:val="38"/>
  </w:num>
  <w:num w:numId="29">
    <w:abstractNumId w:val="18"/>
  </w:num>
  <w:num w:numId="30">
    <w:abstractNumId w:val="11"/>
  </w:num>
  <w:num w:numId="31">
    <w:abstractNumId w:val="27"/>
  </w:num>
  <w:num w:numId="32">
    <w:abstractNumId w:val="35"/>
  </w:num>
  <w:num w:numId="33">
    <w:abstractNumId w:val="36"/>
  </w:num>
  <w:num w:numId="34">
    <w:abstractNumId w:val="0"/>
  </w:num>
  <w:num w:numId="35">
    <w:abstractNumId w:val="29"/>
  </w:num>
  <w:num w:numId="36">
    <w:abstractNumId w:val="4"/>
  </w:num>
  <w:num w:numId="37">
    <w:abstractNumId w:val="19"/>
  </w:num>
  <w:num w:numId="38">
    <w:abstractNumId w:val="14"/>
  </w:num>
  <w:num w:numId="39">
    <w:abstractNumId w:val="39"/>
  </w:num>
  <w:num w:numId="40">
    <w:abstractNumId w:val="20"/>
  </w:num>
  <w:num w:numId="41">
    <w:abstractNumId w:val="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36BA"/>
    <w:rsid w:val="00017B5D"/>
    <w:rsid w:val="00017ED2"/>
    <w:rsid w:val="0002045C"/>
    <w:rsid w:val="00023BE3"/>
    <w:rsid w:val="00027433"/>
    <w:rsid w:val="00031CC0"/>
    <w:rsid w:val="00033396"/>
    <w:rsid w:val="00035B93"/>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0DB3"/>
    <w:rsid w:val="000718AD"/>
    <w:rsid w:val="000738B7"/>
    <w:rsid w:val="0007544F"/>
    <w:rsid w:val="00075C49"/>
    <w:rsid w:val="0007769F"/>
    <w:rsid w:val="0008384D"/>
    <w:rsid w:val="0008418A"/>
    <w:rsid w:val="00084885"/>
    <w:rsid w:val="00092310"/>
    <w:rsid w:val="00097CD4"/>
    <w:rsid w:val="000A1632"/>
    <w:rsid w:val="000A27DD"/>
    <w:rsid w:val="000A2D31"/>
    <w:rsid w:val="000A4DA2"/>
    <w:rsid w:val="000A62A6"/>
    <w:rsid w:val="000B19DE"/>
    <w:rsid w:val="000B2167"/>
    <w:rsid w:val="000B3D81"/>
    <w:rsid w:val="000B54B8"/>
    <w:rsid w:val="000B68FE"/>
    <w:rsid w:val="000B796D"/>
    <w:rsid w:val="000C00F0"/>
    <w:rsid w:val="000C0887"/>
    <w:rsid w:val="000C0938"/>
    <w:rsid w:val="000C2A49"/>
    <w:rsid w:val="000C2BA6"/>
    <w:rsid w:val="000C3F05"/>
    <w:rsid w:val="000C42D5"/>
    <w:rsid w:val="000C6F74"/>
    <w:rsid w:val="000C794F"/>
    <w:rsid w:val="000D5EE4"/>
    <w:rsid w:val="000D7CFC"/>
    <w:rsid w:val="000E2C93"/>
    <w:rsid w:val="000E3350"/>
    <w:rsid w:val="000E5800"/>
    <w:rsid w:val="000E6311"/>
    <w:rsid w:val="000F59B3"/>
    <w:rsid w:val="000F71EF"/>
    <w:rsid w:val="0010252A"/>
    <w:rsid w:val="00105D7B"/>
    <w:rsid w:val="001128A5"/>
    <w:rsid w:val="001136E9"/>
    <w:rsid w:val="00113D1D"/>
    <w:rsid w:val="00115F20"/>
    <w:rsid w:val="00116B42"/>
    <w:rsid w:val="00124587"/>
    <w:rsid w:val="00127916"/>
    <w:rsid w:val="00130B80"/>
    <w:rsid w:val="00133301"/>
    <w:rsid w:val="00133742"/>
    <w:rsid w:val="001341D4"/>
    <w:rsid w:val="0013433B"/>
    <w:rsid w:val="001345A5"/>
    <w:rsid w:val="0013504F"/>
    <w:rsid w:val="00136BE0"/>
    <w:rsid w:val="0014729D"/>
    <w:rsid w:val="001552A1"/>
    <w:rsid w:val="001563F5"/>
    <w:rsid w:val="00157882"/>
    <w:rsid w:val="00161A53"/>
    <w:rsid w:val="00163B60"/>
    <w:rsid w:val="00165103"/>
    <w:rsid w:val="0016765A"/>
    <w:rsid w:val="00172C28"/>
    <w:rsid w:val="00174D10"/>
    <w:rsid w:val="0017610B"/>
    <w:rsid w:val="00181021"/>
    <w:rsid w:val="00190714"/>
    <w:rsid w:val="001944A3"/>
    <w:rsid w:val="0019552B"/>
    <w:rsid w:val="001A300F"/>
    <w:rsid w:val="001A55F0"/>
    <w:rsid w:val="001A7287"/>
    <w:rsid w:val="001A7BFA"/>
    <w:rsid w:val="001B0112"/>
    <w:rsid w:val="001B0243"/>
    <w:rsid w:val="001B2F8A"/>
    <w:rsid w:val="001B30AE"/>
    <w:rsid w:val="001B713D"/>
    <w:rsid w:val="001C0252"/>
    <w:rsid w:val="001C23FD"/>
    <w:rsid w:val="001C524F"/>
    <w:rsid w:val="001D1BE5"/>
    <w:rsid w:val="001D1F57"/>
    <w:rsid w:val="001D6341"/>
    <w:rsid w:val="001D68F0"/>
    <w:rsid w:val="001E3197"/>
    <w:rsid w:val="001E5F28"/>
    <w:rsid w:val="001F3659"/>
    <w:rsid w:val="002015BB"/>
    <w:rsid w:val="0020410A"/>
    <w:rsid w:val="002056F0"/>
    <w:rsid w:val="00207377"/>
    <w:rsid w:val="0021492C"/>
    <w:rsid w:val="00224041"/>
    <w:rsid w:val="002246C4"/>
    <w:rsid w:val="002277F1"/>
    <w:rsid w:val="00230E45"/>
    <w:rsid w:val="00231BA0"/>
    <w:rsid w:val="0023498A"/>
    <w:rsid w:val="00235E08"/>
    <w:rsid w:val="002378DE"/>
    <w:rsid w:val="00240637"/>
    <w:rsid w:val="00242B20"/>
    <w:rsid w:val="00243AA5"/>
    <w:rsid w:val="0024522E"/>
    <w:rsid w:val="002469C0"/>
    <w:rsid w:val="00246A96"/>
    <w:rsid w:val="002506CD"/>
    <w:rsid w:val="00252411"/>
    <w:rsid w:val="002524B3"/>
    <w:rsid w:val="00253A43"/>
    <w:rsid w:val="002544D3"/>
    <w:rsid w:val="00255DC9"/>
    <w:rsid w:val="00256841"/>
    <w:rsid w:val="00271038"/>
    <w:rsid w:val="0027195F"/>
    <w:rsid w:val="002749C1"/>
    <w:rsid w:val="002806B4"/>
    <w:rsid w:val="0028079A"/>
    <w:rsid w:val="0028223B"/>
    <w:rsid w:val="00282D9B"/>
    <w:rsid w:val="00286729"/>
    <w:rsid w:val="00291CCD"/>
    <w:rsid w:val="00294DBF"/>
    <w:rsid w:val="00295D40"/>
    <w:rsid w:val="00297D31"/>
    <w:rsid w:val="002A7061"/>
    <w:rsid w:val="002B2032"/>
    <w:rsid w:val="002B41B2"/>
    <w:rsid w:val="002B594B"/>
    <w:rsid w:val="002B7997"/>
    <w:rsid w:val="002C15F7"/>
    <w:rsid w:val="002C7559"/>
    <w:rsid w:val="002D50A7"/>
    <w:rsid w:val="002E3C26"/>
    <w:rsid w:val="002F155B"/>
    <w:rsid w:val="002F4A2E"/>
    <w:rsid w:val="002F7958"/>
    <w:rsid w:val="00300946"/>
    <w:rsid w:val="0030412A"/>
    <w:rsid w:val="00304675"/>
    <w:rsid w:val="00304DF3"/>
    <w:rsid w:val="00304E70"/>
    <w:rsid w:val="00312127"/>
    <w:rsid w:val="003121A8"/>
    <w:rsid w:val="00312AFC"/>
    <w:rsid w:val="0031727C"/>
    <w:rsid w:val="00322ADB"/>
    <w:rsid w:val="00327001"/>
    <w:rsid w:val="00332F85"/>
    <w:rsid w:val="00333E8D"/>
    <w:rsid w:val="00336EDC"/>
    <w:rsid w:val="003409EB"/>
    <w:rsid w:val="00347368"/>
    <w:rsid w:val="00351967"/>
    <w:rsid w:val="00356A25"/>
    <w:rsid w:val="00361501"/>
    <w:rsid w:val="00362E3C"/>
    <w:rsid w:val="00363215"/>
    <w:rsid w:val="00363C76"/>
    <w:rsid w:val="003672AF"/>
    <w:rsid w:val="00373002"/>
    <w:rsid w:val="0038714C"/>
    <w:rsid w:val="00393AF4"/>
    <w:rsid w:val="00394B5F"/>
    <w:rsid w:val="00395193"/>
    <w:rsid w:val="003A1A52"/>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D7EEE"/>
    <w:rsid w:val="003E0264"/>
    <w:rsid w:val="003E17A1"/>
    <w:rsid w:val="003E292F"/>
    <w:rsid w:val="003E3541"/>
    <w:rsid w:val="003E619D"/>
    <w:rsid w:val="003E626B"/>
    <w:rsid w:val="003F30B4"/>
    <w:rsid w:val="003F40A8"/>
    <w:rsid w:val="003F51CC"/>
    <w:rsid w:val="003F6768"/>
    <w:rsid w:val="0040295A"/>
    <w:rsid w:val="0040387A"/>
    <w:rsid w:val="0041020F"/>
    <w:rsid w:val="00412FC0"/>
    <w:rsid w:val="004151F1"/>
    <w:rsid w:val="0041704D"/>
    <w:rsid w:val="0041731B"/>
    <w:rsid w:val="004208AA"/>
    <w:rsid w:val="00423BE9"/>
    <w:rsid w:val="00423F87"/>
    <w:rsid w:val="00425817"/>
    <w:rsid w:val="00426907"/>
    <w:rsid w:val="00432ED8"/>
    <w:rsid w:val="00432F29"/>
    <w:rsid w:val="00433A78"/>
    <w:rsid w:val="00445293"/>
    <w:rsid w:val="00446D64"/>
    <w:rsid w:val="00450818"/>
    <w:rsid w:val="00456C1E"/>
    <w:rsid w:val="00460222"/>
    <w:rsid w:val="004634F0"/>
    <w:rsid w:val="004748BF"/>
    <w:rsid w:val="00474E2A"/>
    <w:rsid w:val="00477E14"/>
    <w:rsid w:val="00481B58"/>
    <w:rsid w:val="00482BAD"/>
    <w:rsid w:val="00483CCA"/>
    <w:rsid w:val="00484C16"/>
    <w:rsid w:val="00487417"/>
    <w:rsid w:val="00492151"/>
    <w:rsid w:val="00496099"/>
    <w:rsid w:val="00496E55"/>
    <w:rsid w:val="004A01D2"/>
    <w:rsid w:val="004A3AA7"/>
    <w:rsid w:val="004A6BA7"/>
    <w:rsid w:val="004A7C8A"/>
    <w:rsid w:val="004B1EBD"/>
    <w:rsid w:val="004B3684"/>
    <w:rsid w:val="004C1AC2"/>
    <w:rsid w:val="004C251E"/>
    <w:rsid w:val="004C3732"/>
    <w:rsid w:val="004C47B5"/>
    <w:rsid w:val="004C6907"/>
    <w:rsid w:val="004D2E7F"/>
    <w:rsid w:val="004D45F3"/>
    <w:rsid w:val="004E2152"/>
    <w:rsid w:val="004E35BA"/>
    <w:rsid w:val="004E565C"/>
    <w:rsid w:val="004E5BF8"/>
    <w:rsid w:val="004F04A1"/>
    <w:rsid w:val="004F482B"/>
    <w:rsid w:val="004F56BB"/>
    <w:rsid w:val="00500B86"/>
    <w:rsid w:val="00507022"/>
    <w:rsid w:val="00512208"/>
    <w:rsid w:val="00521BE7"/>
    <w:rsid w:val="00522A9A"/>
    <w:rsid w:val="00526D00"/>
    <w:rsid w:val="005331EB"/>
    <w:rsid w:val="00533B2E"/>
    <w:rsid w:val="00534CDF"/>
    <w:rsid w:val="00535B6C"/>
    <w:rsid w:val="0053723B"/>
    <w:rsid w:val="0054058F"/>
    <w:rsid w:val="00543249"/>
    <w:rsid w:val="005466DC"/>
    <w:rsid w:val="00551824"/>
    <w:rsid w:val="00552652"/>
    <w:rsid w:val="00560ECA"/>
    <w:rsid w:val="00562510"/>
    <w:rsid w:val="00566FE3"/>
    <w:rsid w:val="00570710"/>
    <w:rsid w:val="00571AD3"/>
    <w:rsid w:val="00574103"/>
    <w:rsid w:val="005769DE"/>
    <w:rsid w:val="005775C8"/>
    <w:rsid w:val="00583CB0"/>
    <w:rsid w:val="00586615"/>
    <w:rsid w:val="005959FD"/>
    <w:rsid w:val="0059752C"/>
    <w:rsid w:val="005A27CE"/>
    <w:rsid w:val="005A5CC3"/>
    <w:rsid w:val="005A5CD8"/>
    <w:rsid w:val="005B1322"/>
    <w:rsid w:val="005B1504"/>
    <w:rsid w:val="005B6059"/>
    <w:rsid w:val="005C3EC4"/>
    <w:rsid w:val="005C41F3"/>
    <w:rsid w:val="005C4620"/>
    <w:rsid w:val="005C7B0B"/>
    <w:rsid w:val="005D24DB"/>
    <w:rsid w:val="005D7663"/>
    <w:rsid w:val="005D7DAE"/>
    <w:rsid w:val="005E28F5"/>
    <w:rsid w:val="005E2A61"/>
    <w:rsid w:val="005E4463"/>
    <w:rsid w:val="005E5B86"/>
    <w:rsid w:val="005E7FDE"/>
    <w:rsid w:val="005F020C"/>
    <w:rsid w:val="005F251B"/>
    <w:rsid w:val="005F4354"/>
    <w:rsid w:val="005F5A97"/>
    <w:rsid w:val="005F5DA0"/>
    <w:rsid w:val="00601A68"/>
    <w:rsid w:val="00605523"/>
    <w:rsid w:val="0060621F"/>
    <w:rsid w:val="0060783B"/>
    <w:rsid w:val="006162CA"/>
    <w:rsid w:val="0062750E"/>
    <w:rsid w:val="00630251"/>
    <w:rsid w:val="006307A7"/>
    <w:rsid w:val="00631C82"/>
    <w:rsid w:val="00632B41"/>
    <w:rsid w:val="00634649"/>
    <w:rsid w:val="006373C4"/>
    <w:rsid w:val="0064116B"/>
    <w:rsid w:val="00641425"/>
    <w:rsid w:val="00641993"/>
    <w:rsid w:val="006475F2"/>
    <w:rsid w:val="00652336"/>
    <w:rsid w:val="00652384"/>
    <w:rsid w:val="00652D34"/>
    <w:rsid w:val="006539F8"/>
    <w:rsid w:val="00654463"/>
    <w:rsid w:val="00661363"/>
    <w:rsid w:val="0066530B"/>
    <w:rsid w:val="00665435"/>
    <w:rsid w:val="00666020"/>
    <w:rsid w:val="00670062"/>
    <w:rsid w:val="00670919"/>
    <w:rsid w:val="00671ECB"/>
    <w:rsid w:val="00672C37"/>
    <w:rsid w:val="00674AFC"/>
    <w:rsid w:val="006853FE"/>
    <w:rsid w:val="00687D99"/>
    <w:rsid w:val="006917E5"/>
    <w:rsid w:val="006A0231"/>
    <w:rsid w:val="006A16E9"/>
    <w:rsid w:val="006A4EB1"/>
    <w:rsid w:val="006A5B3D"/>
    <w:rsid w:val="006A5DFF"/>
    <w:rsid w:val="006A5F3F"/>
    <w:rsid w:val="006B0544"/>
    <w:rsid w:val="006B055F"/>
    <w:rsid w:val="006B2116"/>
    <w:rsid w:val="006B353C"/>
    <w:rsid w:val="006C1E6B"/>
    <w:rsid w:val="006D0DFD"/>
    <w:rsid w:val="006D2AE3"/>
    <w:rsid w:val="006D3A92"/>
    <w:rsid w:val="006E0446"/>
    <w:rsid w:val="006E0B71"/>
    <w:rsid w:val="006E4732"/>
    <w:rsid w:val="006E4FC6"/>
    <w:rsid w:val="006F07EF"/>
    <w:rsid w:val="006F1AD9"/>
    <w:rsid w:val="00700BF6"/>
    <w:rsid w:val="007037A4"/>
    <w:rsid w:val="00704B8A"/>
    <w:rsid w:val="00704C2B"/>
    <w:rsid w:val="007050D8"/>
    <w:rsid w:val="007050EA"/>
    <w:rsid w:val="007147F7"/>
    <w:rsid w:val="0071702C"/>
    <w:rsid w:val="00722F2F"/>
    <w:rsid w:val="007277A5"/>
    <w:rsid w:val="00736D90"/>
    <w:rsid w:val="00737178"/>
    <w:rsid w:val="00740F71"/>
    <w:rsid w:val="007452D1"/>
    <w:rsid w:val="007464BD"/>
    <w:rsid w:val="00746815"/>
    <w:rsid w:val="0075038E"/>
    <w:rsid w:val="007563B5"/>
    <w:rsid w:val="00760CD1"/>
    <w:rsid w:val="0076117A"/>
    <w:rsid w:val="007674FB"/>
    <w:rsid w:val="007678EB"/>
    <w:rsid w:val="00767AF9"/>
    <w:rsid w:val="00772372"/>
    <w:rsid w:val="00772D11"/>
    <w:rsid w:val="007764AD"/>
    <w:rsid w:val="007773B8"/>
    <w:rsid w:val="007774B2"/>
    <w:rsid w:val="00780CD5"/>
    <w:rsid w:val="00781A12"/>
    <w:rsid w:val="00782151"/>
    <w:rsid w:val="007825C2"/>
    <w:rsid w:val="007848EB"/>
    <w:rsid w:val="0079006E"/>
    <w:rsid w:val="007902A0"/>
    <w:rsid w:val="0079143F"/>
    <w:rsid w:val="00795D54"/>
    <w:rsid w:val="00797574"/>
    <w:rsid w:val="007A2A58"/>
    <w:rsid w:val="007A2BEB"/>
    <w:rsid w:val="007B122A"/>
    <w:rsid w:val="007B44A7"/>
    <w:rsid w:val="007C1766"/>
    <w:rsid w:val="007C7956"/>
    <w:rsid w:val="007D6BE3"/>
    <w:rsid w:val="007D6E6C"/>
    <w:rsid w:val="007D7DCF"/>
    <w:rsid w:val="007E26F6"/>
    <w:rsid w:val="007E4666"/>
    <w:rsid w:val="007E4947"/>
    <w:rsid w:val="007E5673"/>
    <w:rsid w:val="007E5A44"/>
    <w:rsid w:val="007F01C6"/>
    <w:rsid w:val="007F2CBA"/>
    <w:rsid w:val="007F2F29"/>
    <w:rsid w:val="007F3D6A"/>
    <w:rsid w:val="007F73D0"/>
    <w:rsid w:val="00803692"/>
    <w:rsid w:val="00804F5C"/>
    <w:rsid w:val="00805347"/>
    <w:rsid w:val="008057E3"/>
    <w:rsid w:val="00805C46"/>
    <w:rsid w:val="008067F9"/>
    <w:rsid w:val="00806AA3"/>
    <w:rsid w:val="00815536"/>
    <w:rsid w:val="00815ED7"/>
    <w:rsid w:val="008163E0"/>
    <w:rsid w:val="008202F4"/>
    <w:rsid w:val="00820B7C"/>
    <w:rsid w:val="008216D9"/>
    <w:rsid w:val="00822368"/>
    <w:rsid w:val="00825FAD"/>
    <w:rsid w:val="00825FBD"/>
    <w:rsid w:val="0082645E"/>
    <w:rsid w:val="00832EAA"/>
    <w:rsid w:val="008474F3"/>
    <w:rsid w:val="00851A8E"/>
    <w:rsid w:val="00854D10"/>
    <w:rsid w:val="008575E2"/>
    <w:rsid w:val="008603F5"/>
    <w:rsid w:val="00863910"/>
    <w:rsid w:val="008711DF"/>
    <w:rsid w:val="0087229B"/>
    <w:rsid w:val="0087425C"/>
    <w:rsid w:val="0088283A"/>
    <w:rsid w:val="00882958"/>
    <w:rsid w:val="00882FCB"/>
    <w:rsid w:val="00883948"/>
    <w:rsid w:val="00885145"/>
    <w:rsid w:val="008938F2"/>
    <w:rsid w:val="00895E98"/>
    <w:rsid w:val="008A0E35"/>
    <w:rsid w:val="008A3D6B"/>
    <w:rsid w:val="008A4299"/>
    <w:rsid w:val="008A4E56"/>
    <w:rsid w:val="008A5CF9"/>
    <w:rsid w:val="008A71A2"/>
    <w:rsid w:val="008B3F4F"/>
    <w:rsid w:val="008B4623"/>
    <w:rsid w:val="008B66D8"/>
    <w:rsid w:val="008B7D72"/>
    <w:rsid w:val="008B7E65"/>
    <w:rsid w:val="008C472F"/>
    <w:rsid w:val="008D0D3C"/>
    <w:rsid w:val="008D0FC4"/>
    <w:rsid w:val="008D6DF4"/>
    <w:rsid w:val="008E7308"/>
    <w:rsid w:val="008F0CE5"/>
    <w:rsid w:val="008F5CB9"/>
    <w:rsid w:val="0090490B"/>
    <w:rsid w:val="009053B2"/>
    <w:rsid w:val="00912AB3"/>
    <w:rsid w:val="00912DB0"/>
    <w:rsid w:val="00914AAA"/>
    <w:rsid w:val="00915135"/>
    <w:rsid w:val="009153C8"/>
    <w:rsid w:val="00923111"/>
    <w:rsid w:val="0092448C"/>
    <w:rsid w:val="00925807"/>
    <w:rsid w:val="00940152"/>
    <w:rsid w:val="00940BD4"/>
    <w:rsid w:val="009451C9"/>
    <w:rsid w:val="009503CF"/>
    <w:rsid w:val="009515CA"/>
    <w:rsid w:val="009515E5"/>
    <w:rsid w:val="009538A5"/>
    <w:rsid w:val="009538F6"/>
    <w:rsid w:val="00955877"/>
    <w:rsid w:val="00963829"/>
    <w:rsid w:val="00963F80"/>
    <w:rsid w:val="00971581"/>
    <w:rsid w:val="00974C2E"/>
    <w:rsid w:val="00977753"/>
    <w:rsid w:val="0098250B"/>
    <w:rsid w:val="00982A06"/>
    <w:rsid w:val="00982B9F"/>
    <w:rsid w:val="0098581A"/>
    <w:rsid w:val="009A1685"/>
    <w:rsid w:val="009A1760"/>
    <w:rsid w:val="009A1DB9"/>
    <w:rsid w:val="009A561C"/>
    <w:rsid w:val="009A5889"/>
    <w:rsid w:val="009B02A8"/>
    <w:rsid w:val="009B1340"/>
    <w:rsid w:val="009B2190"/>
    <w:rsid w:val="009B2326"/>
    <w:rsid w:val="009B454F"/>
    <w:rsid w:val="009B73E6"/>
    <w:rsid w:val="009C34C2"/>
    <w:rsid w:val="009D5A77"/>
    <w:rsid w:val="009D739C"/>
    <w:rsid w:val="009E1DB2"/>
    <w:rsid w:val="009E4A8E"/>
    <w:rsid w:val="009E795F"/>
    <w:rsid w:val="009F721E"/>
    <w:rsid w:val="00A043E1"/>
    <w:rsid w:val="00A05A9B"/>
    <w:rsid w:val="00A164B4"/>
    <w:rsid w:val="00A16CFF"/>
    <w:rsid w:val="00A1775F"/>
    <w:rsid w:val="00A205AD"/>
    <w:rsid w:val="00A260B0"/>
    <w:rsid w:val="00A30B26"/>
    <w:rsid w:val="00A3278B"/>
    <w:rsid w:val="00A33569"/>
    <w:rsid w:val="00A35E2C"/>
    <w:rsid w:val="00A369C5"/>
    <w:rsid w:val="00A42E4B"/>
    <w:rsid w:val="00A44ACB"/>
    <w:rsid w:val="00A455FD"/>
    <w:rsid w:val="00A461C4"/>
    <w:rsid w:val="00A467AA"/>
    <w:rsid w:val="00A5019D"/>
    <w:rsid w:val="00A51E26"/>
    <w:rsid w:val="00A54314"/>
    <w:rsid w:val="00A54344"/>
    <w:rsid w:val="00A55EE0"/>
    <w:rsid w:val="00A70D15"/>
    <w:rsid w:val="00A73BD3"/>
    <w:rsid w:val="00A80CE4"/>
    <w:rsid w:val="00A821F7"/>
    <w:rsid w:val="00A871EA"/>
    <w:rsid w:val="00A90F19"/>
    <w:rsid w:val="00A911A2"/>
    <w:rsid w:val="00A9314C"/>
    <w:rsid w:val="00A93397"/>
    <w:rsid w:val="00A956A9"/>
    <w:rsid w:val="00AA0086"/>
    <w:rsid w:val="00AA1216"/>
    <w:rsid w:val="00AA1C9E"/>
    <w:rsid w:val="00AA3FC6"/>
    <w:rsid w:val="00AB0FEE"/>
    <w:rsid w:val="00AB3EA6"/>
    <w:rsid w:val="00AB4989"/>
    <w:rsid w:val="00AB617D"/>
    <w:rsid w:val="00AC228E"/>
    <w:rsid w:val="00AC7814"/>
    <w:rsid w:val="00AD04B5"/>
    <w:rsid w:val="00AD0EED"/>
    <w:rsid w:val="00AD59D9"/>
    <w:rsid w:val="00AD6373"/>
    <w:rsid w:val="00AE2482"/>
    <w:rsid w:val="00AE7832"/>
    <w:rsid w:val="00AF3B2E"/>
    <w:rsid w:val="00B00BC1"/>
    <w:rsid w:val="00B0206F"/>
    <w:rsid w:val="00B022FE"/>
    <w:rsid w:val="00B0271A"/>
    <w:rsid w:val="00B028D6"/>
    <w:rsid w:val="00B037E7"/>
    <w:rsid w:val="00B14792"/>
    <w:rsid w:val="00B22795"/>
    <w:rsid w:val="00B247A1"/>
    <w:rsid w:val="00B24CEC"/>
    <w:rsid w:val="00B25FAC"/>
    <w:rsid w:val="00B3113A"/>
    <w:rsid w:val="00B41E40"/>
    <w:rsid w:val="00B426B3"/>
    <w:rsid w:val="00B502B4"/>
    <w:rsid w:val="00B50908"/>
    <w:rsid w:val="00B51252"/>
    <w:rsid w:val="00B5370B"/>
    <w:rsid w:val="00B5776F"/>
    <w:rsid w:val="00B65019"/>
    <w:rsid w:val="00B67D00"/>
    <w:rsid w:val="00B704EA"/>
    <w:rsid w:val="00B70DE9"/>
    <w:rsid w:val="00B725FB"/>
    <w:rsid w:val="00B7357D"/>
    <w:rsid w:val="00B74184"/>
    <w:rsid w:val="00B741F0"/>
    <w:rsid w:val="00B748B3"/>
    <w:rsid w:val="00B74F7C"/>
    <w:rsid w:val="00B75D8C"/>
    <w:rsid w:val="00B77808"/>
    <w:rsid w:val="00B80073"/>
    <w:rsid w:val="00B879CA"/>
    <w:rsid w:val="00B92759"/>
    <w:rsid w:val="00B9310A"/>
    <w:rsid w:val="00B945EB"/>
    <w:rsid w:val="00B94AD0"/>
    <w:rsid w:val="00B966E0"/>
    <w:rsid w:val="00BA0EF0"/>
    <w:rsid w:val="00BA5C92"/>
    <w:rsid w:val="00BA70B9"/>
    <w:rsid w:val="00BB1011"/>
    <w:rsid w:val="00BB1C64"/>
    <w:rsid w:val="00BB1CB8"/>
    <w:rsid w:val="00BB1D21"/>
    <w:rsid w:val="00BB36BF"/>
    <w:rsid w:val="00BB3C2E"/>
    <w:rsid w:val="00BB4AAF"/>
    <w:rsid w:val="00BB5F95"/>
    <w:rsid w:val="00BC51D3"/>
    <w:rsid w:val="00BC5F6D"/>
    <w:rsid w:val="00BD0EAB"/>
    <w:rsid w:val="00BD61F1"/>
    <w:rsid w:val="00BD6305"/>
    <w:rsid w:val="00BD6A40"/>
    <w:rsid w:val="00BD737D"/>
    <w:rsid w:val="00BE13B4"/>
    <w:rsid w:val="00BE5907"/>
    <w:rsid w:val="00BF6B3C"/>
    <w:rsid w:val="00BF7304"/>
    <w:rsid w:val="00C0103B"/>
    <w:rsid w:val="00C02A12"/>
    <w:rsid w:val="00C04D12"/>
    <w:rsid w:val="00C1100C"/>
    <w:rsid w:val="00C16958"/>
    <w:rsid w:val="00C16EDE"/>
    <w:rsid w:val="00C250C5"/>
    <w:rsid w:val="00C3137C"/>
    <w:rsid w:val="00C34948"/>
    <w:rsid w:val="00C379BF"/>
    <w:rsid w:val="00C42F53"/>
    <w:rsid w:val="00C44E24"/>
    <w:rsid w:val="00C45CB4"/>
    <w:rsid w:val="00C501E5"/>
    <w:rsid w:val="00C52062"/>
    <w:rsid w:val="00C52EBF"/>
    <w:rsid w:val="00C57CA7"/>
    <w:rsid w:val="00C57FAE"/>
    <w:rsid w:val="00C626A3"/>
    <w:rsid w:val="00C62AF6"/>
    <w:rsid w:val="00C62EDC"/>
    <w:rsid w:val="00C70AA4"/>
    <w:rsid w:val="00C76B4D"/>
    <w:rsid w:val="00C8047E"/>
    <w:rsid w:val="00C80705"/>
    <w:rsid w:val="00C8076F"/>
    <w:rsid w:val="00C808A2"/>
    <w:rsid w:val="00C80B8D"/>
    <w:rsid w:val="00C812AF"/>
    <w:rsid w:val="00C81E69"/>
    <w:rsid w:val="00C82B6E"/>
    <w:rsid w:val="00C91319"/>
    <w:rsid w:val="00C9327B"/>
    <w:rsid w:val="00C93FD9"/>
    <w:rsid w:val="00C95F40"/>
    <w:rsid w:val="00C96762"/>
    <w:rsid w:val="00C97439"/>
    <w:rsid w:val="00CA2E5D"/>
    <w:rsid w:val="00CA443F"/>
    <w:rsid w:val="00CA5473"/>
    <w:rsid w:val="00CA6BB3"/>
    <w:rsid w:val="00CB00A7"/>
    <w:rsid w:val="00CB0B3B"/>
    <w:rsid w:val="00CB0BEB"/>
    <w:rsid w:val="00CB2A3D"/>
    <w:rsid w:val="00CB4820"/>
    <w:rsid w:val="00CB5B6F"/>
    <w:rsid w:val="00CC38C0"/>
    <w:rsid w:val="00CC5410"/>
    <w:rsid w:val="00CD1006"/>
    <w:rsid w:val="00CD4476"/>
    <w:rsid w:val="00CD774E"/>
    <w:rsid w:val="00CE1835"/>
    <w:rsid w:val="00CF2A93"/>
    <w:rsid w:val="00CF41F0"/>
    <w:rsid w:val="00D052DB"/>
    <w:rsid w:val="00D06160"/>
    <w:rsid w:val="00D06F8D"/>
    <w:rsid w:val="00D074BF"/>
    <w:rsid w:val="00D11214"/>
    <w:rsid w:val="00D15323"/>
    <w:rsid w:val="00D15371"/>
    <w:rsid w:val="00D21561"/>
    <w:rsid w:val="00D22DD6"/>
    <w:rsid w:val="00D2534F"/>
    <w:rsid w:val="00D2674D"/>
    <w:rsid w:val="00D302B9"/>
    <w:rsid w:val="00D30B5F"/>
    <w:rsid w:val="00D31FAF"/>
    <w:rsid w:val="00D40B1D"/>
    <w:rsid w:val="00D431C4"/>
    <w:rsid w:val="00D4609B"/>
    <w:rsid w:val="00D46E52"/>
    <w:rsid w:val="00D51FB5"/>
    <w:rsid w:val="00D62944"/>
    <w:rsid w:val="00D63A5B"/>
    <w:rsid w:val="00D63EA0"/>
    <w:rsid w:val="00D66D62"/>
    <w:rsid w:val="00D702CF"/>
    <w:rsid w:val="00D71138"/>
    <w:rsid w:val="00D71179"/>
    <w:rsid w:val="00D719C6"/>
    <w:rsid w:val="00D751D9"/>
    <w:rsid w:val="00D75745"/>
    <w:rsid w:val="00D8104E"/>
    <w:rsid w:val="00D82568"/>
    <w:rsid w:val="00D83125"/>
    <w:rsid w:val="00D85D06"/>
    <w:rsid w:val="00DA0780"/>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F0A99"/>
    <w:rsid w:val="00DF172E"/>
    <w:rsid w:val="00DF1EEC"/>
    <w:rsid w:val="00DF76FA"/>
    <w:rsid w:val="00E043E4"/>
    <w:rsid w:val="00E0647F"/>
    <w:rsid w:val="00E07169"/>
    <w:rsid w:val="00E10E71"/>
    <w:rsid w:val="00E13327"/>
    <w:rsid w:val="00E22856"/>
    <w:rsid w:val="00E2421E"/>
    <w:rsid w:val="00E27C62"/>
    <w:rsid w:val="00E27D57"/>
    <w:rsid w:val="00E30766"/>
    <w:rsid w:val="00E32D62"/>
    <w:rsid w:val="00E349AC"/>
    <w:rsid w:val="00E369F7"/>
    <w:rsid w:val="00E36A4E"/>
    <w:rsid w:val="00E42307"/>
    <w:rsid w:val="00E42AB4"/>
    <w:rsid w:val="00E451C1"/>
    <w:rsid w:val="00E51A47"/>
    <w:rsid w:val="00E521CD"/>
    <w:rsid w:val="00E60D04"/>
    <w:rsid w:val="00E64628"/>
    <w:rsid w:val="00E673CF"/>
    <w:rsid w:val="00E706CF"/>
    <w:rsid w:val="00E70F39"/>
    <w:rsid w:val="00E72E82"/>
    <w:rsid w:val="00E759BD"/>
    <w:rsid w:val="00E7683C"/>
    <w:rsid w:val="00E850A0"/>
    <w:rsid w:val="00E91A44"/>
    <w:rsid w:val="00E97C6A"/>
    <w:rsid w:val="00EA042C"/>
    <w:rsid w:val="00EA1DEC"/>
    <w:rsid w:val="00EA23E5"/>
    <w:rsid w:val="00EB2201"/>
    <w:rsid w:val="00EB2BF0"/>
    <w:rsid w:val="00EB56F0"/>
    <w:rsid w:val="00EB6163"/>
    <w:rsid w:val="00EB62BE"/>
    <w:rsid w:val="00EC0A10"/>
    <w:rsid w:val="00EC0B9F"/>
    <w:rsid w:val="00EC3BE1"/>
    <w:rsid w:val="00EC45B1"/>
    <w:rsid w:val="00EC4B2D"/>
    <w:rsid w:val="00EC50D1"/>
    <w:rsid w:val="00EC72EE"/>
    <w:rsid w:val="00ED02A1"/>
    <w:rsid w:val="00ED2CD4"/>
    <w:rsid w:val="00ED755F"/>
    <w:rsid w:val="00EE090C"/>
    <w:rsid w:val="00EE21F6"/>
    <w:rsid w:val="00EE5402"/>
    <w:rsid w:val="00EE5F75"/>
    <w:rsid w:val="00EE6276"/>
    <w:rsid w:val="00EF1628"/>
    <w:rsid w:val="00EF4DF3"/>
    <w:rsid w:val="00F0500A"/>
    <w:rsid w:val="00F05059"/>
    <w:rsid w:val="00F05559"/>
    <w:rsid w:val="00F101E7"/>
    <w:rsid w:val="00F120C8"/>
    <w:rsid w:val="00F13DD2"/>
    <w:rsid w:val="00F14EFD"/>
    <w:rsid w:val="00F15D42"/>
    <w:rsid w:val="00F1797A"/>
    <w:rsid w:val="00F2204E"/>
    <w:rsid w:val="00F247E9"/>
    <w:rsid w:val="00F3402C"/>
    <w:rsid w:val="00F417A2"/>
    <w:rsid w:val="00F50CC4"/>
    <w:rsid w:val="00F52048"/>
    <w:rsid w:val="00F527CF"/>
    <w:rsid w:val="00F539C1"/>
    <w:rsid w:val="00F61222"/>
    <w:rsid w:val="00F62BC3"/>
    <w:rsid w:val="00F645EA"/>
    <w:rsid w:val="00F656B7"/>
    <w:rsid w:val="00F656E8"/>
    <w:rsid w:val="00F6774A"/>
    <w:rsid w:val="00F67A9F"/>
    <w:rsid w:val="00F67C18"/>
    <w:rsid w:val="00F7067F"/>
    <w:rsid w:val="00F71857"/>
    <w:rsid w:val="00F75C82"/>
    <w:rsid w:val="00F77170"/>
    <w:rsid w:val="00F826AB"/>
    <w:rsid w:val="00F87655"/>
    <w:rsid w:val="00F9529A"/>
    <w:rsid w:val="00FB252C"/>
    <w:rsid w:val="00FB29DF"/>
    <w:rsid w:val="00FB31D1"/>
    <w:rsid w:val="00FB6379"/>
    <w:rsid w:val="00FB6D58"/>
    <w:rsid w:val="00FB6DA9"/>
    <w:rsid w:val="00FB7C04"/>
    <w:rsid w:val="00FC0C86"/>
    <w:rsid w:val="00FC15A5"/>
    <w:rsid w:val="00FC2397"/>
    <w:rsid w:val="00FC3677"/>
    <w:rsid w:val="00FC4633"/>
    <w:rsid w:val="00FC57E7"/>
    <w:rsid w:val="00FC5B5F"/>
    <w:rsid w:val="00FC6F6A"/>
    <w:rsid w:val="00FC7A15"/>
    <w:rsid w:val="00FC7BBB"/>
    <w:rsid w:val="00FD0BAE"/>
    <w:rsid w:val="00FD43AA"/>
    <w:rsid w:val="00FD7F7E"/>
    <w:rsid w:val="00FE5389"/>
    <w:rsid w:val="00FE59CA"/>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s://ttpedge.sitenv.org/tt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lm.nih.gov/healthit/snomedct/us_edition.html" TargetMode="External"/><Relationship Id="rId17" Type="http://schemas.openxmlformats.org/officeDocument/2006/relationships/hyperlink" Target="mailto:ehr@drummondgroup.com" TargetMode="External"/><Relationship Id="rId2" Type="http://schemas.openxmlformats.org/officeDocument/2006/relationships/numbering" Target="numbering.xml"/><Relationship Id="rId16" Type="http://schemas.openxmlformats.org/officeDocument/2006/relationships/hyperlink" Target="http://www.drummond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7.org/implement/standards/product_brief.cfm?product_id=379" TargetMode="External"/><Relationship Id="rId5" Type="http://schemas.openxmlformats.org/officeDocument/2006/relationships/webSettings" Target="webSettings.xml"/><Relationship Id="rId15" Type="http://schemas.openxmlformats.org/officeDocument/2006/relationships/hyperlink" Target="http://www.hl7.org/implement/standards/product_brief.cfm?product_id=374" TargetMode="External"/><Relationship Id="rId23" Type="http://schemas.openxmlformats.org/officeDocument/2006/relationships/theme" Target="theme/theme1.xml"/><Relationship Id="rId10" Type="http://schemas.openxmlformats.org/officeDocument/2006/relationships/hyperlink" Target="http://www.hl7.org/implement/standards/product_brief.cfm?product_id=25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s://www.healthit.gov/sites/default/files/2015Ed_CCG_CCDS.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0C4E1-E12B-41B1-91CF-E2FFFE7A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3677</Words>
  <Characters>20964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24592</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7</cp:revision>
  <dcterms:created xsi:type="dcterms:W3CDTF">2016-09-30T14:34:00Z</dcterms:created>
  <dcterms:modified xsi:type="dcterms:W3CDTF">2016-09-30T14:44:00Z</dcterms:modified>
</cp:coreProperties>
</file>