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D7F7E" w:rsidRDefault="00362E3C" w:rsidP="00BD6A40">
      <w:pPr>
        <w:pStyle w:val="Heading1"/>
      </w:pPr>
      <w:r w:rsidRPr="00BD2A8D">
        <w:t xml:space="preserve">Test Criteria: </w:t>
      </w:r>
      <w:r w:rsidR="00B51252">
        <w:t xml:space="preserve"> </w:t>
      </w:r>
      <w:r w:rsidR="00F67C18">
        <w:t>170.315.</w:t>
      </w:r>
      <w:r w:rsidR="000152C7">
        <w:t>b.5</w:t>
      </w:r>
      <w:r w:rsidR="00F67C18" w:rsidRPr="00F67C18">
        <w:t xml:space="preserve"> </w:t>
      </w:r>
      <w:r w:rsidR="007147F7">
        <w:t xml:space="preserve">Common Clinical Data Set Summary Record </w:t>
      </w:r>
      <w:r w:rsidR="00AA1E8C">
        <w:t>–</w:t>
      </w:r>
      <w:r w:rsidR="007147F7">
        <w:t xml:space="preserve"> </w:t>
      </w:r>
      <w:r w:rsidR="000152C7">
        <w:t>Receive</w:t>
      </w:r>
    </w:p>
    <w:p w:rsidR="00AA1E8C" w:rsidRPr="00AA1E8C" w:rsidRDefault="00AA1E8C" w:rsidP="00AA1E8C"/>
    <w:tbl>
      <w:tblPr>
        <w:tblW w:w="88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45"/>
        <w:gridCol w:w="4854"/>
      </w:tblGrid>
      <w:tr w:rsidR="00DC0225" w:rsidTr="00DC0225">
        <w:trPr>
          <w:trHeight w:val="331"/>
        </w:trPr>
        <w:tc>
          <w:tcPr>
            <w:tcW w:w="4045" w:type="dxa"/>
            <w:shd w:val="clear" w:color="auto" w:fill="DBE5F1" w:themeFill="accent1" w:themeFillTint="33"/>
          </w:tcPr>
          <w:p w:rsidR="00DC0225" w:rsidRPr="00DC0225" w:rsidRDefault="00DC0225" w:rsidP="004A3AA7">
            <w:pPr>
              <w:rPr>
                <w:rFonts w:ascii="Arial" w:hAnsi="Arial" w:cs="Arial"/>
                <w:b/>
              </w:rPr>
            </w:pPr>
            <w:r w:rsidRPr="00DC0225">
              <w:rPr>
                <w:rFonts w:ascii="Arial" w:hAnsi="Arial" w:cs="Arial"/>
                <w:b/>
              </w:rPr>
              <w:t>Testing Result</w:t>
            </w:r>
          </w:p>
        </w:tc>
        <w:tc>
          <w:tcPr>
            <w:tcW w:w="4854" w:type="dxa"/>
            <w:shd w:val="clear" w:color="auto" w:fill="DBE5F1" w:themeFill="accent1" w:themeFillTint="33"/>
          </w:tcPr>
          <w:p w:rsidR="00DC0225" w:rsidRPr="00DC0225" w:rsidRDefault="00DC0225" w:rsidP="004A3AA7">
            <w:pPr>
              <w:rPr>
                <w:rFonts w:ascii="Leelawadee UI" w:hAnsi="Leelawadee UI" w:cs="Leelawadee UI"/>
              </w:rPr>
            </w:pPr>
          </w:p>
        </w:tc>
      </w:tr>
      <w:tr w:rsidR="00D874B8" w:rsidTr="00DC0225">
        <w:trPr>
          <w:trHeight w:val="331"/>
        </w:trPr>
        <w:tc>
          <w:tcPr>
            <w:tcW w:w="4045" w:type="dxa"/>
            <w:shd w:val="clear" w:color="auto" w:fill="FFFFFF" w:themeFill="background1"/>
          </w:tcPr>
          <w:p w:rsidR="00D874B8" w:rsidRPr="00DC0225" w:rsidRDefault="00D874B8" w:rsidP="00D874B8">
            <w:pPr>
              <w:rPr>
                <w:rFonts w:ascii="Leelawadee UI" w:hAnsi="Leelawadee UI" w:cs="Leelawadee UI"/>
                <w:sz w:val="22"/>
                <w:szCs w:val="22"/>
              </w:rPr>
            </w:pPr>
            <w:r w:rsidRPr="00DC0225">
              <w:rPr>
                <w:rFonts w:ascii="Leelawadee UI" w:hAnsi="Leelawadee UI" w:cs="Leelawadee UI"/>
                <w:sz w:val="22"/>
                <w:szCs w:val="22"/>
              </w:rPr>
              <w:t>Participant and Product-with-version</w:t>
            </w:r>
          </w:p>
        </w:tc>
        <w:tc>
          <w:tcPr>
            <w:tcW w:w="4854" w:type="dxa"/>
            <w:shd w:val="clear" w:color="auto" w:fill="FFFFFF" w:themeFill="background1"/>
          </w:tcPr>
          <w:p w:rsidR="00D874B8" w:rsidRPr="00DC0225" w:rsidRDefault="00D874B8" w:rsidP="00D874B8">
            <w:pPr>
              <w:rPr>
                <w:rFonts w:ascii="Leelawadee UI" w:hAnsi="Leelawadee UI" w:cs="Leelawadee UI"/>
              </w:rPr>
            </w:pPr>
          </w:p>
        </w:tc>
      </w:tr>
      <w:tr w:rsidR="00D874B8" w:rsidTr="00DC0225">
        <w:trPr>
          <w:trHeight w:val="331"/>
        </w:trPr>
        <w:tc>
          <w:tcPr>
            <w:tcW w:w="4045" w:type="dxa"/>
            <w:shd w:val="clear" w:color="auto" w:fill="FFFFFF" w:themeFill="background1"/>
          </w:tcPr>
          <w:p w:rsidR="00D874B8" w:rsidRPr="00DC0225" w:rsidRDefault="00D874B8" w:rsidP="00D874B8">
            <w:pPr>
              <w:rPr>
                <w:rFonts w:ascii="Leelawadee UI" w:hAnsi="Leelawadee UI" w:cs="Leelawadee UI"/>
                <w:sz w:val="22"/>
                <w:szCs w:val="22"/>
              </w:rPr>
            </w:pPr>
            <w:r w:rsidRPr="00DC0225">
              <w:rPr>
                <w:rFonts w:ascii="Leelawadee UI" w:hAnsi="Leelawadee UI" w:cs="Leelawadee UI"/>
                <w:sz w:val="22"/>
                <w:szCs w:val="22"/>
              </w:rPr>
              <w:t>Setting (Ambulatory or Inpatient)</w:t>
            </w:r>
          </w:p>
        </w:tc>
        <w:tc>
          <w:tcPr>
            <w:tcW w:w="4854" w:type="dxa"/>
            <w:shd w:val="clear" w:color="auto" w:fill="FFFFFF" w:themeFill="background1"/>
          </w:tcPr>
          <w:p w:rsidR="00D874B8" w:rsidRPr="00DC0225" w:rsidRDefault="00D874B8" w:rsidP="00D874B8">
            <w:pPr>
              <w:rPr>
                <w:rFonts w:ascii="Leelawadee UI" w:hAnsi="Leelawadee UI" w:cs="Leelawadee UI"/>
              </w:rPr>
            </w:pPr>
          </w:p>
        </w:tc>
      </w:tr>
      <w:tr w:rsidR="00D874B8" w:rsidTr="00DC0225">
        <w:trPr>
          <w:trHeight w:val="331"/>
        </w:trPr>
        <w:tc>
          <w:tcPr>
            <w:tcW w:w="4045" w:type="dxa"/>
            <w:shd w:val="clear" w:color="auto" w:fill="FFFFFF" w:themeFill="background1"/>
          </w:tcPr>
          <w:p w:rsidR="00D874B8" w:rsidRPr="00DC0225" w:rsidRDefault="00D874B8" w:rsidP="00D874B8">
            <w:pPr>
              <w:rPr>
                <w:rFonts w:ascii="Leelawadee UI" w:hAnsi="Leelawadee UI" w:cs="Leelawadee UI"/>
                <w:sz w:val="22"/>
                <w:szCs w:val="22"/>
              </w:rPr>
            </w:pPr>
            <w:r w:rsidRPr="00DC0225">
              <w:rPr>
                <w:rFonts w:ascii="Leelawadee UI" w:hAnsi="Leelawadee UI" w:cs="Leelawadee UI"/>
                <w:sz w:val="22"/>
                <w:szCs w:val="22"/>
              </w:rPr>
              <w:t>Test Proctor</w:t>
            </w:r>
          </w:p>
        </w:tc>
        <w:tc>
          <w:tcPr>
            <w:tcW w:w="4854" w:type="dxa"/>
            <w:shd w:val="clear" w:color="auto" w:fill="FFFFFF" w:themeFill="background1"/>
          </w:tcPr>
          <w:p w:rsidR="00D874B8" w:rsidRPr="00DC0225" w:rsidRDefault="00D874B8" w:rsidP="00D874B8">
            <w:pPr>
              <w:rPr>
                <w:rFonts w:ascii="Leelawadee UI" w:hAnsi="Leelawadee UI" w:cs="Leelawadee UI"/>
              </w:rPr>
            </w:pPr>
          </w:p>
        </w:tc>
      </w:tr>
      <w:tr w:rsidR="00D874B8" w:rsidTr="00DC0225">
        <w:trPr>
          <w:trHeight w:val="331"/>
        </w:trPr>
        <w:tc>
          <w:tcPr>
            <w:tcW w:w="4045" w:type="dxa"/>
            <w:shd w:val="clear" w:color="auto" w:fill="FFFFFF" w:themeFill="background1"/>
          </w:tcPr>
          <w:p w:rsidR="00D874B8" w:rsidRPr="00DC0225" w:rsidRDefault="00D874B8" w:rsidP="00D874B8">
            <w:pPr>
              <w:rPr>
                <w:rFonts w:ascii="Leelawadee UI" w:hAnsi="Leelawadee UI" w:cs="Leelawadee UI"/>
                <w:sz w:val="22"/>
                <w:szCs w:val="22"/>
              </w:rPr>
            </w:pPr>
            <w:r w:rsidRPr="00DC0225">
              <w:rPr>
                <w:rFonts w:ascii="Leelawadee UI" w:hAnsi="Leelawadee UI" w:cs="Leelawadee UI"/>
                <w:sz w:val="22"/>
                <w:szCs w:val="22"/>
              </w:rPr>
              <w:t xml:space="preserve">Test Date </w:t>
            </w:r>
          </w:p>
        </w:tc>
        <w:tc>
          <w:tcPr>
            <w:tcW w:w="4854" w:type="dxa"/>
            <w:shd w:val="clear" w:color="auto" w:fill="FFFFFF" w:themeFill="background1"/>
          </w:tcPr>
          <w:p w:rsidR="00D874B8" w:rsidRPr="00DC0225" w:rsidRDefault="00D874B8" w:rsidP="00D874B8">
            <w:pPr>
              <w:rPr>
                <w:rFonts w:ascii="Leelawadee UI" w:hAnsi="Leelawadee UI" w:cs="Leelawadee UI"/>
              </w:rPr>
            </w:pPr>
          </w:p>
        </w:tc>
      </w:tr>
      <w:tr w:rsidR="00D874B8" w:rsidTr="00DC0225">
        <w:trPr>
          <w:trHeight w:val="350"/>
        </w:trPr>
        <w:tc>
          <w:tcPr>
            <w:tcW w:w="4045" w:type="dxa"/>
            <w:shd w:val="clear" w:color="auto" w:fill="FFFFFF" w:themeFill="background1"/>
          </w:tcPr>
          <w:p w:rsidR="00D874B8" w:rsidRPr="00DC0225" w:rsidRDefault="00D874B8" w:rsidP="00D874B8">
            <w:pPr>
              <w:rPr>
                <w:rFonts w:ascii="Leelawadee UI" w:hAnsi="Leelawadee UI" w:cs="Leelawadee UI"/>
                <w:sz w:val="22"/>
                <w:szCs w:val="22"/>
              </w:rPr>
            </w:pPr>
            <w:r w:rsidRPr="00DC0225">
              <w:rPr>
                <w:rFonts w:ascii="Leelawadee UI" w:hAnsi="Leelawadee UI" w:cs="Leelawadee UI"/>
                <w:sz w:val="22"/>
                <w:szCs w:val="22"/>
              </w:rPr>
              <w:t>Test Result</w:t>
            </w:r>
          </w:p>
        </w:tc>
        <w:tc>
          <w:tcPr>
            <w:tcW w:w="4854" w:type="dxa"/>
            <w:shd w:val="clear" w:color="auto" w:fill="FFFFFF" w:themeFill="background1"/>
          </w:tcPr>
          <w:p w:rsidR="00D874B8" w:rsidRPr="00DC0225" w:rsidRDefault="00D874B8" w:rsidP="00D874B8">
            <w:pPr>
              <w:rPr>
                <w:rFonts w:ascii="Leelawadee UI" w:hAnsi="Leelawadee UI" w:cs="Leelawadee UI"/>
              </w:rPr>
            </w:pPr>
            <w:r w:rsidRPr="00DC0225">
              <w:rPr>
                <w:rFonts w:ascii="Leelawadee UI" w:hAnsi="Leelawadee UI" w:cs="Leelawadee UI"/>
              </w:rPr>
              <w:t xml:space="preserve">Pass: </w:t>
            </w:r>
            <w:sdt>
              <w:sdtPr>
                <w:rPr>
                  <w:rFonts w:ascii="Leelawadee UI" w:hAnsi="Leelawadee UI" w:cs="Leelawadee UI"/>
                </w:rPr>
                <w:id w:val="2014264862"/>
                <w14:checkbox>
                  <w14:checked w14:val="0"/>
                  <w14:checkedState w14:val="2612" w14:font="Arial Unicode MS"/>
                  <w14:uncheckedState w14:val="2610" w14:font="Arial Unicode MS"/>
                </w14:checkbox>
              </w:sdtPr>
              <w:sdtEndPr/>
              <w:sdtContent>
                <w:r>
                  <w:rPr>
                    <w:rFonts w:ascii="MS Gothic" w:eastAsia="MS Gothic" w:hAnsi="MS Gothic" w:cs="Leelawadee UI" w:hint="eastAsia"/>
                  </w:rPr>
                  <w:t>☐</w:t>
                </w:r>
              </w:sdtContent>
            </w:sdt>
            <w:r w:rsidRPr="00DC0225">
              <w:rPr>
                <w:rFonts w:ascii="Leelawadee UI" w:hAnsi="Leelawadee UI" w:cs="Leelawadee UI"/>
              </w:rPr>
              <w:t xml:space="preserve">        Fail:  </w:t>
            </w:r>
            <w:sdt>
              <w:sdtPr>
                <w:rPr>
                  <w:rFonts w:ascii="Leelawadee UI" w:hAnsi="Leelawadee UI" w:cs="Leelawadee UI"/>
                </w:rPr>
                <w:id w:val="1234904596"/>
                <w14:checkbox>
                  <w14:checked w14:val="0"/>
                  <w14:checkedState w14:val="2612" w14:font="Arial Unicode MS"/>
                  <w14:uncheckedState w14:val="2610" w14:font="Arial Unicode MS"/>
                </w14:checkbox>
              </w:sdtPr>
              <w:sdtEndPr/>
              <w:sdtContent>
                <w:r w:rsidRPr="00DC0225">
                  <w:rPr>
                    <w:rFonts w:ascii="Segoe UI Symbol" w:hAnsi="Segoe UI Symbol" w:cs="Segoe UI Symbol"/>
                  </w:rPr>
                  <w:t>☐</w:t>
                </w:r>
              </w:sdtContent>
            </w:sdt>
            <w:r w:rsidRPr="00DC0225">
              <w:rPr>
                <w:rFonts w:ascii="Leelawadee UI" w:hAnsi="Leelawadee UI" w:cs="Leelawadee UI"/>
              </w:rPr>
              <w:t xml:space="preserve">       No Attempt: </w:t>
            </w:r>
            <w:sdt>
              <w:sdtPr>
                <w:rPr>
                  <w:rFonts w:ascii="Leelawadee UI" w:hAnsi="Leelawadee UI" w:cs="Leelawadee UI"/>
                </w:rPr>
                <w:id w:val="564684625"/>
                <w14:checkbox>
                  <w14:checked w14:val="0"/>
                  <w14:checkedState w14:val="2612" w14:font="Arial Unicode MS"/>
                  <w14:uncheckedState w14:val="2610" w14:font="Arial Unicode MS"/>
                </w14:checkbox>
              </w:sdtPr>
              <w:sdtEndPr/>
              <w:sdtContent>
                <w:r w:rsidRPr="00DC0225">
                  <w:rPr>
                    <w:rFonts w:ascii="Segoe UI Symbol" w:hAnsi="Segoe UI Symbol" w:cs="Segoe UI Symbol"/>
                  </w:rPr>
                  <w:t>☐</w:t>
                </w:r>
              </w:sdtContent>
            </w:sdt>
          </w:p>
        </w:tc>
      </w:tr>
      <w:tr w:rsidR="00D874B8" w:rsidTr="00DC0225">
        <w:trPr>
          <w:trHeight w:val="350"/>
        </w:trPr>
        <w:tc>
          <w:tcPr>
            <w:tcW w:w="4045" w:type="dxa"/>
            <w:shd w:val="clear" w:color="auto" w:fill="FFFFFF" w:themeFill="background1"/>
          </w:tcPr>
          <w:p w:rsidR="00D874B8" w:rsidRPr="00DC0225" w:rsidRDefault="00D874B8" w:rsidP="00D874B8">
            <w:pPr>
              <w:rPr>
                <w:rFonts w:ascii="Leelawadee UI" w:hAnsi="Leelawadee UI" w:cs="Leelawadee UI"/>
                <w:sz w:val="22"/>
                <w:szCs w:val="22"/>
              </w:rPr>
            </w:pPr>
            <w:r>
              <w:rPr>
                <w:rFonts w:ascii="Leelawadee UI" w:hAnsi="Leelawadee UI" w:cs="Leelawadee UI"/>
                <w:sz w:val="22"/>
                <w:szCs w:val="22"/>
              </w:rPr>
              <w:t>Error Description (if applicable)</w:t>
            </w:r>
          </w:p>
        </w:tc>
        <w:tc>
          <w:tcPr>
            <w:tcW w:w="4854" w:type="dxa"/>
            <w:shd w:val="clear" w:color="auto" w:fill="FFFFFF" w:themeFill="background1"/>
          </w:tcPr>
          <w:p w:rsidR="00D874B8" w:rsidRPr="00DC0225" w:rsidRDefault="00D874B8" w:rsidP="00D874B8">
            <w:pPr>
              <w:rPr>
                <w:rFonts w:ascii="Leelawadee UI" w:hAnsi="Leelawadee UI" w:cs="Leelawadee UI"/>
              </w:rPr>
            </w:pPr>
          </w:p>
        </w:tc>
      </w:tr>
      <w:tr w:rsidR="00D874B8" w:rsidTr="00DC0225">
        <w:trPr>
          <w:trHeight w:val="350"/>
        </w:trPr>
        <w:tc>
          <w:tcPr>
            <w:tcW w:w="4045" w:type="dxa"/>
            <w:shd w:val="clear" w:color="auto" w:fill="FFFFFF" w:themeFill="background1"/>
          </w:tcPr>
          <w:p w:rsidR="00D874B8" w:rsidRPr="00DC0225" w:rsidRDefault="00D874B8" w:rsidP="00D874B8">
            <w:pPr>
              <w:rPr>
                <w:rFonts w:ascii="Leelawadee UI" w:hAnsi="Leelawadee UI" w:cs="Leelawadee UI"/>
                <w:sz w:val="22"/>
                <w:szCs w:val="22"/>
              </w:rPr>
            </w:pPr>
            <w:r w:rsidRPr="00DC0225">
              <w:rPr>
                <w:rFonts w:ascii="Leelawadee UI" w:hAnsi="Leelawadee UI" w:cs="Leelawadee UI"/>
                <w:sz w:val="22"/>
                <w:szCs w:val="22"/>
              </w:rPr>
              <w:t>Modifications to Product Under Test</w:t>
            </w:r>
          </w:p>
        </w:tc>
        <w:tc>
          <w:tcPr>
            <w:tcW w:w="4854" w:type="dxa"/>
            <w:shd w:val="clear" w:color="auto" w:fill="FFFFFF" w:themeFill="background1"/>
          </w:tcPr>
          <w:p w:rsidR="00D874B8" w:rsidRPr="00DC0225" w:rsidRDefault="00D874B8" w:rsidP="00D874B8">
            <w:pPr>
              <w:rPr>
                <w:rFonts w:ascii="Leelawadee UI" w:hAnsi="Leelawadee UI" w:cs="Leelawadee UI"/>
              </w:rPr>
            </w:pPr>
          </w:p>
        </w:tc>
      </w:tr>
      <w:tr w:rsidR="00D874B8" w:rsidTr="00DC0225">
        <w:trPr>
          <w:trHeight w:val="350"/>
        </w:trPr>
        <w:tc>
          <w:tcPr>
            <w:tcW w:w="4045" w:type="dxa"/>
            <w:shd w:val="clear" w:color="auto" w:fill="FFFFFF" w:themeFill="background1"/>
          </w:tcPr>
          <w:p w:rsidR="00D874B8" w:rsidRPr="00DC0225" w:rsidRDefault="00D874B8" w:rsidP="00D874B8">
            <w:pPr>
              <w:rPr>
                <w:rFonts w:ascii="Leelawadee UI" w:hAnsi="Leelawadee UI" w:cs="Leelawadee UI"/>
                <w:sz w:val="22"/>
                <w:szCs w:val="22"/>
              </w:rPr>
            </w:pPr>
            <w:r>
              <w:rPr>
                <w:rFonts w:ascii="Leelawadee UI" w:hAnsi="Leelawadee UI" w:cs="Leelawadee UI"/>
                <w:sz w:val="22"/>
                <w:szCs w:val="22"/>
              </w:rPr>
              <w:t>Additional Software Used</w:t>
            </w:r>
          </w:p>
        </w:tc>
        <w:tc>
          <w:tcPr>
            <w:tcW w:w="4854" w:type="dxa"/>
            <w:shd w:val="clear" w:color="auto" w:fill="FFFFFF" w:themeFill="background1"/>
          </w:tcPr>
          <w:p w:rsidR="00D874B8" w:rsidRPr="00DC0225" w:rsidRDefault="00D874B8" w:rsidP="00D874B8">
            <w:pPr>
              <w:rPr>
                <w:rFonts w:ascii="Leelawadee UI" w:hAnsi="Leelawadee UI" w:cs="Leelawadee UI"/>
              </w:rPr>
            </w:pPr>
          </w:p>
        </w:tc>
      </w:tr>
      <w:tr w:rsidR="00D874B8" w:rsidTr="00DC0225">
        <w:trPr>
          <w:trHeight w:val="313"/>
        </w:trPr>
        <w:tc>
          <w:tcPr>
            <w:tcW w:w="4045" w:type="dxa"/>
            <w:shd w:val="clear" w:color="auto" w:fill="FFFFFF" w:themeFill="background1"/>
          </w:tcPr>
          <w:p w:rsidR="00D874B8" w:rsidRPr="00DC0225" w:rsidRDefault="00D874B8" w:rsidP="00D874B8">
            <w:pPr>
              <w:rPr>
                <w:rFonts w:ascii="Leelawadee UI" w:hAnsi="Leelawadee UI" w:cs="Leelawadee UI"/>
                <w:sz w:val="22"/>
                <w:szCs w:val="22"/>
              </w:rPr>
            </w:pPr>
            <w:r w:rsidRPr="00DC0225">
              <w:rPr>
                <w:rFonts w:ascii="Leelawadee UI" w:hAnsi="Leelawadee UI" w:cs="Leelawadee UI"/>
                <w:sz w:val="22"/>
                <w:szCs w:val="22"/>
              </w:rPr>
              <w:t>Additional Proctor Notes</w:t>
            </w:r>
          </w:p>
        </w:tc>
        <w:tc>
          <w:tcPr>
            <w:tcW w:w="4854" w:type="dxa"/>
            <w:shd w:val="clear" w:color="auto" w:fill="FFFFFF" w:themeFill="background1"/>
          </w:tcPr>
          <w:p w:rsidR="00D874B8" w:rsidRPr="00DC0225" w:rsidRDefault="00D874B8" w:rsidP="00D874B8">
            <w:pPr>
              <w:rPr>
                <w:rFonts w:ascii="Leelawadee UI" w:hAnsi="Leelawadee UI" w:cs="Leelawadee UI"/>
              </w:rPr>
            </w:pPr>
          </w:p>
        </w:tc>
      </w:tr>
    </w:tbl>
    <w:p w:rsidR="00FD7F7E" w:rsidRDefault="00FD7F7E" w:rsidP="00FD7F7E"/>
    <w:p w:rsidR="00AA1E8C" w:rsidRDefault="00AA1E8C" w:rsidP="00AA1E8C">
      <w:pPr>
        <w:pStyle w:val="Heading3"/>
      </w:pPr>
      <w:r>
        <w:t>Overview</w:t>
      </w:r>
    </w:p>
    <w:p w:rsidR="00AA1E8C" w:rsidRDefault="00AA1E8C" w:rsidP="00AA1E8C">
      <w:r>
        <w:t>In this document you will find:</w:t>
      </w:r>
    </w:p>
    <w:p w:rsidR="00AA1E8C" w:rsidRDefault="00670695" w:rsidP="00AA1E8C">
      <w:pPr>
        <w:pStyle w:val="ListParagraph"/>
        <w:numPr>
          <w:ilvl w:val="0"/>
          <w:numId w:val="33"/>
        </w:numPr>
      </w:pPr>
      <w:hyperlink w:anchor="_Test_Data_and" w:history="1">
        <w:r w:rsidR="00AA1E8C">
          <w:rPr>
            <w:rStyle w:val="Hyperlink"/>
          </w:rPr>
          <w:t>Test Data and Test Tools</w:t>
        </w:r>
      </w:hyperlink>
    </w:p>
    <w:p w:rsidR="00AA1E8C" w:rsidRDefault="00670695" w:rsidP="00AA1E8C">
      <w:pPr>
        <w:pStyle w:val="ListParagraph"/>
        <w:numPr>
          <w:ilvl w:val="0"/>
          <w:numId w:val="33"/>
        </w:numPr>
      </w:pPr>
      <w:hyperlink w:anchor="_Demonstrate_Standards_Support" w:history="1">
        <w:r w:rsidR="00AA1E8C">
          <w:rPr>
            <w:rStyle w:val="Hyperlink"/>
          </w:rPr>
          <w:t>Standards Support</w:t>
        </w:r>
      </w:hyperlink>
    </w:p>
    <w:p w:rsidR="00AA1E8C" w:rsidRPr="00241B8B" w:rsidRDefault="00670695" w:rsidP="00AA1E8C">
      <w:pPr>
        <w:pStyle w:val="ListParagraph"/>
        <w:numPr>
          <w:ilvl w:val="0"/>
          <w:numId w:val="33"/>
        </w:numPr>
        <w:rPr>
          <w:rStyle w:val="Hyperlink"/>
          <w:color w:val="auto"/>
          <w:u w:val="none"/>
        </w:rPr>
      </w:pPr>
      <w:hyperlink w:anchor="_170.315(b)(5)_Common_Clinical" w:history="1">
        <w:r w:rsidR="00AA1E8C">
          <w:rPr>
            <w:rStyle w:val="Hyperlink"/>
          </w:rPr>
          <w:t>Drummond Test Report (Instructions, Expected Results, Points to Remember)</w:t>
        </w:r>
      </w:hyperlink>
    </w:p>
    <w:p w:rsidR="00AA1E8C" w:rsidRPr="00241B8B" w:rsidRDefault="00670695" w:rsidP="00AA1E8C">
      <w:pPr>
        <w:pStyle w:val="ListParagraph"/>
        <w:numPr>
          <w:ilvl w:val="0"/>
          <w:numId w:val="33"/>
        </w:numPr>
        <w:rPr>
          <w:rStyle w:val="Hyperlink"/>
          <w:color w:val="auto"/>
          <w:u w:val="none"/>
        </w:rPr>
      </w:pPr>
      <w:hyperlink w:anchor="_Test_Procedures" w:history="1">
        <w:r w:rsidR="00AA1E8C" w:rsidRPr="00241B8B">
          <w:rPr>
            <w:rStyle w:val="Hyperlink"/>
          </w:rPr>
          <w:t>Test Procedures</w:t>
        </w:r>
      </w:hyperlink>
    </w:p>
    <w:p w:rsidR="00AA1E8C" w:rsidRDefault="00670695" w:rsidP="00AA1E8C">
      <w:pPr>
        <w:pStyle w:val="ListParagraph"/>
        <w:numPr>
          <w:ilvl w:val="0"/>
          <w:numId w:val="33"/>
        </w:numPr>
      </w:pPr>
      <w:hyperlink w:anchor="_Appendix_A:_Testing" w:history="1">
        <w:r w:rsidR="00AA1E8C" w:rsidRPr="00241B8B">
          <w:rPr>
            <w:rStyle w:val="Hyperlink"/>
          </w:rPr>
          <w:t>Appendix A: Testing Guide</w:t>
        </w:r>
      </w:hyperlink>
    </w:p>
    <w:p w:rsidR="00AA1E8C" w:rsidRPr="00BB1360" w:rsidRDefault="00670695" w:rsidP="00AA1E8C">
      <w:pPr>
        <w:pStyle w:val="ListParagraph"/>
        <w:numPr>
          <w:ilvl w:val="0"/>
          <w:numId w:val="33"/>
        </w:numPr>
        <w:rPr>
          <w:rStyle w:val="Hyperlink"/>
          <w:color w:val="auto"/>
          <w:u w:val="none"/>
        </w:rPr>
      </w:pPr>
      <w:hyperlink w:anchor="_Appendix_B:_ONC" w:history="1">
        <w:r w:rsidR="00AA1E8C">
          <w:rPr>
            <w:rStyle w:val="Hyperlink"/>
          </w:rPr>
          <w:t>Appendix B: ONC Criteria</w:t>
        </w:r>
      </w:hyperlink>
    </w:p>
    <w:p w:rsidR="00BB1360" w:rsidRDefault="00BB1360" w:rsidP="00AA1E8C">
      <w:pPr>
        <w:pStyle w:val="ListParagraph"/>
        <w:numPr>
          <w:ilvl w:val="0"/>
          <w:numId w:val="33"/>
        </w:numPr>
      </w:pPr>
      <w:r>
        <w:rPr>
          <w:rStyle w:val="Hyperlink"/>
        </w:rPr>
        <w:t xml:space="preserve">Appendix C: CCDS Reference </w:t>
      </w:r>
      <w:hyperlink w:anchor="_Appendix_C:_CCDS" w:history="1">
        <w:r w:rsidRPr="00BB1360">
          <w:rPr>
            <w:rStyle w:val="Hyperlink"/>
          </w:rPr>
          <w:t>Table</w:t>
        </w:r>
      </w:hyperlink>
    </w:p>
    <w:p w:rsidR="00AA1E8C" w:rsidRDefault="00AA1E8C" w:rsidP="00FD7F7E"/>
    <w:p w:rsidR="009D5A77" w:rsidRDefault="009D5A77" w:rsidP="009D5A77">
      <w:pPr>
        <w:pStyle w:val="Heading3"/>
      </w:pPr>
      <w:bookmarkStart w:id="0" w:name="_Toc432066403"/>
      <w:r w:rsidRPr="00EA50E7">
        <w:t>Version of ONC Test Method</w:t>
      </w:r>
      <w:bookmarkEnd w:id="0"/>
    </w:p>
    <w:p w:rsidR="009D5A77" w:rsidRDefault="00686EFF" w:rsidP="009D5A77">
      <w:pPr>
        <w:ind w:left="720"/>
      </w:pPr>
      <w:r>
        <w:t>1.0</w:t>
      </w:r>
    </w:p>
    <w:p w:rsidR="009D5A77" w:rsidRPr="00FD7F7E" w:rsidRDefault="009D5A77" w:rsidP="00FD7F7E"/>
    <w:p w:rsidR="0019552B" w:rsidRDefault="0019552B" w:rsidP="0019552B">
      <w:pPr>
        <w:pStyle w:val="Heading3"/>
      </w:pPr>
      <w:bookmarkStart w:id="1" w:name="_Toc432066401"/>
      <w:r>
        <w:t>Scope of Proctoring Sheet</w:t>
      </w:r>
    </w:p>
    <w:p w:rsidR="0019552B" w:rsidRDefault="0019552B" w:rsidP="0019552B">
      <w:r>
        <w:t xml:space="preserve">The ONC test method associated with this criterion is the only approved test method for EHR Meaningful Use certification. This Proctoring Sheet is not a replacement test method but a test procedure document for performing the ONC test method and recording the results. Proctoring Sheet describe test data, test criteria and expected results. It is assumed </w:t>
      </w:r>
      <w:r w:rsidR="007902A0">
        <w:t xml:space="preserve">the </w:t>
      </w:r>
      <w:r w:rsidR="00140D35">
        <w:t>Health IT developer or Participant u</w:t>
      </w:r>
      <w:r w:rsidR="007902A0">
        <w:t>nder</w:t>
      </w:r>
      <w:r w:rsidR="00140D35">
        <w:t xml:space="preserve"> </w:t>
      </w:r>
      <w:r>
        <w:t>Test is familiar with the associated ONC test method.</w:t>
      </w:r>
      <w:r w:rsidRPr="00632B41">
        <w:t xml:space="preserve"> </w:t>
      </w:r>
    </w:p>
    <w:p w:rsidR="009D5A77" w:rsidRPr="00D50410" w:rsidRDefault="009D5A77" w:rsidP="009D5A77">
      <w:pPr>
        <w:pStyle w:val="Heading1"/>
        <w:rPr>
          <w:kern w:val="0"/>
          <w:sz w:val="26"/>
          <w:szCs w:val="26"/>
        </w:rPr>
      </w:pPr>
      <w:r w:rsidRPr="00D50410">
        <w:rPr>
          <w:kern w:val="0"/>
          <w:sz w:val="26"/>
          <w:szCs w:val="26"/>
        </w:rPr>
        <w:lastRenderedPageBreak/>
        <w:t>Robustness and Reliability Requirement</w:t>
      </w:r>
    </w:p>
    <w:p w:rsidR="009D5A77" w:rsidRDefault="009D5A77" w:rsidP="009D5A77">
      <w:r>
        <w:t>To satisfy the module criteria, it is expected that the Product-Under-Test is able to complete the testing requirements reliably, including repeat testing with the same result without error, and with a satisfactory level of robustness. This includes unexpected error messages produced through normal operation, multiple unintended restarts of the application or any other “buggy” facets of the product displayed while testing. These errors are record in the Additional Proctor Notes of the proctor sheet. Lack of reliability and robustness of design will result in failure of the module.</w:t>
      </w:r>
    </w:p>
    <w:p w:rsidR="00140D35" w:rsidRDefault="00140D35">
      <w:pPr>
        <w:rPr>
          <w:rFonts w:ascii="Arial" w:hAnsi="Arial" w:cs="Arial"/>
          <w:b/>
          <w:bCs/>
          <w:kern w:val="32"/>
          <w:sz w:val="32"/>
          <w:szCs w:val="32"/>
        </w:rPr>
      </w:pPr>
      <w:bookmarkStart w:id="2" w:name="OLE_LINK1"/>
      <w:bookmarkEnd w:id="1"/>
      <w:r>
        <w:br w:type="page"/>
      </w:r>
    </w:p>
    <w:p w:rsidR="009D5A77" w:rsidRDefault="009D5A77" w:rsidP="000C42D5">
      <w:pPr>
        <w:pStyle w:val="Heading1"/>
        <w:ind w:hanging="90"/>
      </w:pPr>
      <w:bookmarkStart w:id="3" w:name="_Test_Data_and"/>
      <w:bookmarkEnd w:id="3"/>
      <w:r w:rsidRPr="005E7FDE">
        <w:lastRenderedPageBreak/>
        <w:t>Test Data and Tools</w:t>
      </w:r>
    </w:p>
    <w:p w:rsidR="009D5A77" w:rsidRDefault="009D5A77" w:rsidP="009D5A77"/>
    <w:tbl>
      <w:tblPr>
        <w:tblW w:w="8730" w:type="dxa"/>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30"/>
        <w:gridCol w:w="7200"/>
      </w:tblGrid>
      <w:tr w:rsidR="009D5A77" w:rsidTr="00982B9F">
        <w:trPr>
          <w:trHeight w:val="432"/>
        </w:trPr>
        <w:tc>
          <w:tcPr>
            <w:tcW w:w="1530" w:type="dxa"/>
            <w:shd w:val="clear" w:color="auto" w:fill="DBE5F1" w:themeFill="accent1" w:themeFillTint="33"/>
          </w:tcPr>
          <w:p w:rsidR="009D5A77" w:rsidRPr="00255DC9" w:rsidRDefault="00982B9F" w:rsidP="00982B9F">
            <w:pPr>
              <w:jc w:val="center"/>
              <w:rPr>
                <w:rFonts w:ascii="Leelawadee UI" w:hAnsi="Leelawadee UI" w:cs="Leelawadee UI"/>
                <w:b/>
              </w:rPr>
            </w:pPr>
            <w:r>
              <w:rPr>
                <w:rFonts w:ascii="Leelawadee UI" w:hAnsi="Leelawadee UI" w:cs="Leelawadee UI"/>
                <w:b/>
              </w:rPr>
              <w:t xml:space="preserve">Test Data </w:t>
            </w:r>
            <w:r w:rsidR="009D5A77">
              <w:rPr>
                <w:rFonts w:ascii="Leelawadee UI" w:hAnsi="Leelawadee UI" w:cs="Leelawadee UI"/>
                <w:b/>
              </w:rPr>
              <w:t>Source:</w:t>
            </w:r>
          </w:p>
        </w:tc>
        <w:tc>
          <w:tcPr>
            <w:tcW w:w="7200" w:type="dxa"/>
            <w:shd w:val="clear" w:color="auto" w:fill="DBE5F1" w:themeFill="accent1" w:themeFillTint="33"/>
          </w:tcPr>
          <w:p w:rsidR="009D5A77" w:rsidRPr="00255DC9" w:rsidRDefault="002D50A7" w:rsidP="00B314C7">
            <w:pPr>
              <w:rPr>
                <w:rFonts w:ascii="Leelawadee UI" w:hAnsi="Leelawadee UI" w:cs="Leelawadee UI"/>
              </w:rPr>
            </w:pPr>
            <w:r>
              <w:rPr>
                <w:rFonts w:ascii="Leelawadee UI" w:hAnsi="Leelawadee UI" w:cs="Leelawadee UI"/>
              </w:rPr>
              <w:t>ONC-Supplied</w:t>
            </w:r>
            <w:r w:rsidR="009D5A77" w:rsidRPr="00255DC9">
              <w:rPr>
                <w:rFonts w:ascii="Leelawadee UI" w:hAnsi="Leelawadee UI" w:cs="Leelawadee UI"/>
              </w:rPr>
              <w:t xml:space="preserve"> </w:t>
            </w:r>
            <w:sdt>
              <w:sdtPr>
                <w:rPr>
                  <w:rFonts w:ascii="Leelawadee UI" w:hAnsi="Leelawadee UI" w:cs="Leelawadee UI"/>
                </w:rPr>
                <w:id w:val="1101154561"/>
                <w14:checkbox>
                  <w14:checked w14:val="1"/>
                  <w14:checkedState w14:val="2612" w14:font="Arial Unicode MS"/>
                  <w14:uncheckedState w14:val="2610" w14:font="Arial Unicode MS"/>
                </w14:checkbox>
              </w:sdtPr>
              <w:sdtEndPr/>
              <w:sdtContent>
                <w:r w:rsidR="009A561C">
                  <w:rPr>
                    <w:rFonts w:ascii="MS Gothic" w:eastAsia="MS Gothic" w:hAnsi="MS Gothic" w:cs="Leelawadee UI" w:hint="eastAsia"/>
                  </w:rPr>
                  <w:t>☒</w:t>
                </w:r>
              </w:sdtContent>
            </w:sdt>
            <w:r w:rsidR="009D5A77" w:rsidRPr="00255DC9">
              <w:rPr>
                <w:rFonts w:ascii="Leelawadee UI" w:hAnsi="Leelawadee UI" w:cs="Leelawadee UI"/>
              </w:rPr>
              <w:t xml:space="preserve">   </w:t>
            </w:r>
            <w:r w:rsidR="009D5A77">
              <w:rPr>
                <w:rFonts w:ascii="Leelawadee UI" w:hAnsi="Leelawadee UI" w:cs="Leelawadee UI"/>
              </w:rPr>
              <w:t xml:space="preserve">    </w:t>
            </w:r>
            <w:r>
              <w:rPr>
                <w:rFonts w:ascii="Leelawadee UI" w:hAnsi="Leelawadee UI" w:cs="Leelawadee UI"/>
              </w:rPr>
              <w:t>DG-Supplied</w:t>
            </w:r>
            <w:r w:rsidR="009D5A77" w:rsidRPr="00255DC9">
              <w:rPr>
                <w:rFonts w:ascii="Leelawadee UI" w:hAnsi="Leelawadee UI" w:cs="Leelawadee UI"/>
              </w:rPr>
              <w:t xml:space="preserve">: </w:t>
            </w:r>
            <w:sdt>
              <w:sdtPr>
                <w:rPr>
                  <w:rFonts w:ascii="Leelawadee UI" w:hAnsi="Leelawadee UI" w:cs="Leelawadee UI"/>
                </w:rPr>
                <w:id w:val="-49624640"/>
                <w14:checkbox>
                  <w14:checked w14:val="0"/>
                  <w14:checkedState w14:val="2612" w14:font="Arial Unicode MS"/>
                  <w14:uncheckedState w14:val="2610" w14:font="Arial Unicode MS"/>
                </w14:checkbox>
              </w:sdtPr>
              <w:sdtEndPr/>
              <w:sdtContent>
                <w:r w:rsidR="00DD40F3">
                  <w:rPr>
                    <w:rFonts w:ascii="MS Gothic" w:eastAsia="MS Gothic" w:hAnsi="MS Gothic" w:cs="Leelawadee UI" w:hint="eastAsia"/>
                  </w:rPr>
                  <w:t>☐</w:t>
                </w:r>
              </w:sdtContent>
            </w:sdt>
            <w:r w:rsidR="00140D35">
              <w:rPr>
                <w:rFonts w:ascii="Leelawadee UI" w:hAnsi="Leelawadee UI" w:cs="Leelawadee UI"/>
              </w:rPr>
              <w:t xml:space="preserve">       Developer</w:t>
            </w:r>
            <w:r>
              <w:rPr>
                <w:rFonts w:ascii="Leelawadee UI" w:hAnsi="Leelawadee UI" w:cs="Leelawadee UI"/>
              </w:rPr>
              <w:t>-Supplied</w:t>
            </w:r>
            <w:r w:rsidR="009D5A77" w:rsidRPr="00255DC9">
              <w:rPr>
                <w:rFonts w:ascii="Leelawadee UI" w:hAnsi="Leelawadee UI" w:cs="Leelawadee UI"/>
              </w:rPr>
              <w:t xml:space="preserve">: </w:t>
            </w:r>
            <w:sdt>
              <w:sdtPr>
                <w:rPr>
                  <w:rFonts w:ascii="Leelawadee UI" w:hAnsi="Leelawadee UI" w:cs="Leelawadee UI"/>
                </w:rPr>
                <w:id w:val="972863509"/>
                <w14:checkbox>
                  <w14:checked w14:val="0"/>
                  <w14:checkedState w14:val="2612" w14:font="Arial Unicode MS"/>
                  <w14:uncheckedState w14:val="2610" w14:font="Arial Unicode MS"/>
                </w14:checkbox>
              </w:sdtPr>
              <w:sdtEndPr/>
              <w:sdtContent>
                <w:r w:rsidR="009A561C">
                  <w:rPr>
                    <w:rFonts w:ascii="MS Gothic" w:eastAsia="MS Gothic" w:hAnsi="MS Gothic" w:cs="Leelawadee UI" w:hint="eastAsia"/>
                  </w:rPr>
                  <w:t>☐</w:t>
                </w:r>
              </w:sdtContent>
            </w:sdt>
            <w:r w:rsidR="009D5A77" w:rsidRPr="00255DC9">
              <w:rPr>
                <w:rFonts w:ascii="Leelawadee UI" w:hAnsi="Leelawadee UI" w:cs="Leelawadee UI"/>
              </w:rPr>
              <w:t xml:space="preserve">  </w:t>
            </w:r>
          </w:p>
        </w:tc>
      </w:tr>
      <w:tr w:rsidR="009D5A77" w:rsidTr="00BB36BF">
        <w:trPr>
          <w:trHeight w:val="432"/>
        </w:trPr>
        <w:tc>
          <w:tcPr>
            <w:tcW w:w="8730" w:type="dxa"/>
            <w:gridSpan w:val="2"/>
            <w:shd w:val="clear" w:color="auto" w:fill="DBE5F1" w:themeFill="accent1" w:themeFillTint="33"/>
          </w:tcPr>
          <w:p w:rsidR="009D5A77" w:rsidRDefault="009D5A77" w:rsidP="00BB36BF">
            <w:pPr>
              <w:rPr>
                <w:rFonts w:ascii="Leelawadee UI" w:hAnsi="Leelawadee UI" w:cs="Leelawadee UI"/>
              </w:rPr>
            </w:pPr>
            <w:r>
              <w:rPr>
                <w:rFonts w:ascii="Leelawadee UI" w:hAnsi="Leelawadee UI" w:cs="Leelawadee UI"/>
                <w:b/>
              </w:rPr>
              <w:t>Pre-Test Data Setup:</w:t>
            </w:r>
          </w:p>
          <w:p w:rsidR="009D5A77" w:rsidRPr="00393AF4" w:rsidRDefault="00E50A9B" w:rsidP="00140D35">
            <w:pPr>
              <w:pStyle w:val="ListParagraph"/>
            </w:pPr>
            <w:r w:rsidRPr="00140D35">
              <w:rPr>
                <w:rFonts w:ascii="Leelawadee UI" w:hAnsi="Leelawadee UI" w:cs="Leelawadee UI"/>
              </w:rPr>
              <w:t>Not applicable</w:t>
            </w:r>
            <w:r w:rsidR="00140D35">
              <w:rPr>
                <w:rFonts w:ascii="Leelawadee UI" w:hAnsi="Leelawadee UI" w:cs="Leelawadee UI"/>
              </w:rPr>
              <w:t>.</w:t>
            </w:r>
          </w:p>
        </w:tc>
      </w:tr>
      <w:tr w:rsidR="009D5A77" w:rsidTr="00BB36BF">
        <w:trPr>
          <w:trHeight w:val="432"/>
        </w:trPr>
        <w:tc>
          <w:tcPr>
            <w:tcW w:w="8730" w:type="dxa"/>
            <w:gridSpan w:val="2"/>
            <w:shd w:val="clear" w:color="auto" w:fill="DBE5F1" w:themeFill="accent1" w:themeFillTint="33"/>
          </w:tcPr>
          <w:p w:rsidR="009D5A77" w:rsidRDefault="009D5A77" w:rsidP="00BB36BF">
            <w:pPr>
              <w:rPr>
                <w:rFonts w:ascii="Leelawadee UI" w:hAnsi="Leelawadee UI" w:cs="Leelawadee UI"/>
                <w:b/>
              </w:rPr>
            </w:pPr>
            <w:r>
              <w:rPr>
                <w:rFonts w:ascii="Leelawadee UI" w:hAnsi="Leelawadee UI" w:cs="Leelawadee UI"/>
                <w:b/>
              </w:rPr>
              <w:t>Test Data</w:t>
            </w:r>
            <w:r w:rsidRPr="00255DC9">
              <w:rPr>
                <w:rFonts w:ascii="Leelawadee UI" w:hAnsi="Leelawadee UI" w:cs="Leelawadee UI"/>
                <w:b/>
              </w:rPr>
              <w:t xml:space="preserve">: </w:t>
            </w:r>
          </w:p>
          <w:p w:rsidR="00797574" w:rsidRPr="00140D35" w:rsidRDefault="00140D35" w:rsidP="00140D35">
            <w:pPr>
              <w:pStyle w:val="ListParagraph"/>
              <w:rPr>
                <w:rFonts w:ascii="Leelawadee UI" w:hAnsi="Leelawadee UI" w:cs="Leelawadee UI"/>
              </w:rPr>
            </w:pPr>
            <w:r>
              <w:rPr>
                <w:rFonts w:ascii="Leelawadee UI" w:hAnsi="Leelawadee UI" w:cs="Leelawadee UI"/>
              </w:rPr>
              <w:t>T</w:t>
            </w:r>
            <w:r w:rsidR="00E50A9B" w:rsidRPr="00140D35">
              <w:rPr>
                <w:rFonts w:ascii="Leelawadee UI" w:hAnsi="Leelawadee UI" w:cs="Leelawadee UI"/>
              </w:rPr>
              <w:t xml:space="preserve">est data is downloaded from the ETT </w:t>
            </w:r>
            <w:hyperlink r:id="rId8" w:anchor="/validators" w:history="1">
              <w:r w:rsidRPr="00B924E2">
                <w:rPr>
                  <w:rStyle w:val="Hyperlink"/>
                </w:rPr>
                <w:t>C-CDA R2.1 Validator</w:t>
              </w:r>
            </w:hyperlink>
            <w:r>
              <w:rPr>
                <w:rFonts w:ascii="Leelawadee UI" w:hAnsi="Leelawadee UI" w:cs="Leelawadee UI"/>
              </w:rPr>
              <w:t xml:space="preserve"> using the “Receiver SUT Test Data” selection</w:t>
            </w:r>
            <w:r w:rsidR="00797574" w:rsidRPr="00140D35">
              <w:rPr>
                <w:rFonts w:ascii="Leelawadee UI" w:hAnsi="Leelawadee UI" w:cs="Leelawadee UI"/>
              </w:rPr>
              <w:t>:</w:t>
            </w:r>
          </w:p>
          <w:p w:rsidR="00797574" w:rsidRPr="00140D35" w:rsidRDefault="00797574" w:rsidP="00797574">
            <w:pPr>
              <w:pStyle w:val="ListParagraph"/>
              <w:numPr>
                <w:ilvl w:val="1"/>
                <w:numId w:val="27"/>
              </w:numPr>
              <w:rPr>
                <w:rFonts w:ascii="Leelawadee UI" w:hAnsi="Leelawadee UI" w:cs="Leelawadee UI"/>
              </w:rPr>
            </w:pPr>
            <w:r w:rsidRPr="00140D35">
              <w:rPr>
                <w:rFonts w:ascii="Leelawadee UI" w:hAnsi="Leelawadee UI" w:cs="Leelawadee UI"/>
              </w:rPr>
              <w:t>Inpatie</w:t>
            </w:r>
            <w:r w:rsidR="00E50A9B" w:rsidRPr="00140D35">
              <w:rPr>
                <w:rFonts w:ascii="Leelawadee UI" w:hAnsi="Leelawadee UI" w:cs="Leelawadee UI"/>
              </w:rPr>
              <w:t xml:space="preserve">nt Setting: </w:t>
            </w:r>
            <w:r w:rsidR="007B454E">
              <w:rPr>
                <w:rFonts w:ascii="Leelawadee UI" w:hAnsi="Leelawadee UI" w:cs="Leelawadee UI"/>
              </w:rPr>
              <w:t>“</w:t>
            </w:r>
            <w:r w:rsidR="00E50A9B" w:rsidRPr="00140D35">
              <w:rPr>
                <w:rFonts w:ascii="Leelawadee UI" w:hAnsi="Leelawadee UI" w:cs="Leelawadee UI"/>
              </w:rPr>
              <w:t>170.315_b5</w:t>
            </w:r>
            <w:r w:rsidRPr="00140D35">
              <w:rPr>
                <w:rFonts w:ascii="Leelawadee UI" w:hAnsi="Leelawadee UI" w:cs="Leelawadee UI"/>
              </w:rPr>
              <w:t>_</w:t>
            </w:r>
            <w:r w:rsidR="007B454E">
              <w:rPr>
                <w:rFonts w:ascii="Leelawadee UI" w:hAnsi="Leelawadee UI" w:cs="Leelawadee UI"/>
              </w:rPr>
              <w:t>CCDS_Inp”</w:t>
            </w:r>
            <w:r w:rsidRPr="00140D35">
              <w:rPr>
                <w:rFonts w:ascii="Leelawadee UI" w:hAnsi="Leelawadee UI" w:cs="Leelawadee UI"/>
              </w:rPr>
              <w:t xml:space="preserve">  (All </w:t>
            </w:r>
            <w:r w:rsidR="007B454E">
              <w:rPr>
                <w:rFonts w:ascii="Leelawadee UI" w:hAnsi="Leelawadee UI" w:cs="Leelawadee UI"/>
              </w:rPr>
              <w:t xml:space="preserve">.xml </w:t>
            </w:r>
            <w:r w:rsidRPr="00140D35">
              <w:rPr>
                <w:rFonts w:ascii="Leelawadee UI" w:hAnsi="Leelawadee UI" w:cs="Leelawadee UI"/>
              </w:rPr>
              <w:t>Samples)</w:t>
            </w:r>
          </w:p>
          <w:p w:rsidR="000F59B3" w:rsidRPr="00140D35" w:rsidRDefault="00393AF4" w:rsidP="00797574">
            <w:pPr>
              <w:pStyle w:val="ListParagraph"/>
              <w:numPr>
                <w:ilvl w:val="1"/>
                <w:numId w:val="27"/>
              </w:numPr>
              <w:rPr>
                <w:rFonts w:ascii="Leelawadee UI" w:hAnsi="Leelawadee UI" w:cs="Leelawadee UI"/>
                <w:b/>
              </w:rPr>
            </w:pPr>
            <w:r w:rsidRPr="00140D35">
              <w:rPr>
                <w:rFonts w:ascii="Leelawadee UI" w:hAnsi="Leelawadee UI" w:cs="Leelawadee UI"/>
              </w:rPr>
              <w:t xml:space="preserve">Ambulatory Setting: </w:t>
            </w:r>
            <w:r w:rsidR="007B454E">
              <w:rPr>
                <w:rFonts w:ascii="Leelawadee UI" w:hAnsi="Leelawadee UI" w:cs="Leelawadee UI"/>
              </w:rPr>
              <w:t>“</w:t>
            </w:r>
            <w:r w:rsidR="00E50A9B" w:rsidRPr="00140D35">
              <w:rPr>
                <w:rFonts w:ascii="Leelawadee UI" w:hAnsi="Leelawadee UI" w:cs="Leelawadee UI"/>
              </w:rPr>
              <w:t>170.315_b5_</w:t>
            </w:r>
            <w:r w:rsidR="007B454E">
              <w:rPr>
                <w:rFonts w:ascii="Leelawadee UI" w:hAnsi="Leelawadee UI" w:cs="Leelawadee UI"/>
              </w:rPr>
              <w:t>CCDS_Amb”</w:t>
            </w:r>
            <w:r w:rsidR="00797574" w:rsidRPr="00140D35">
              <w:rPr>
                <w:rFonts w:ascii="Leelawadee UI" w:hAnsi="Leelawadee UI" w:cs="Leelawadee UI"/>
              </w:rPr>
              <w:t xml:space="preserve"> (All</w:t>
            </w:r>
            <w:r w:rsidR="007B454E">
              <w:rPr>
                <w:rFonts w:ascii="Leelawadee UI" w:hAnsi="Leelawadee UI" w:cs="Leelawadee UI"/>
              </w:rPr>
              <w:t xml:space="preserve"> .xml</w:t>
            </w:r>
            <w:r w:rsidR="00797574" w:rsidRPr="00140D35">
              <w:rPr>
                <w:rFonts w:ascii="Leelawadee UI" w:hAnsi="Leelawadee UI" w:cs="Leelawadee UI"/>
              </w:rPr>
              <w:t xml:space="preserve"> Samples)</w:t>
            </w:r>
          </w:p>
          <w:p w:rsidR="00140D35" w:rsidRPr="00255DC9" w:rsidRDefault="00140D35" w:rsidP="007B454E">
            <w:pPr>
              <w:pStyle w:val="ListParagraph"/>
              <w:numPr>
                <w:ilvl w:val="1"/>
                <w:numId w:val="27"/>
              </w:numPr>
              <w:rPr>
                <w:rFonts w:ascii="Leelawadee UI" w:hAnsi="Leelawadee UI" w:cs="Leelawadee UI"/>
                <w:b/>
              </w:rPr>
            </w:pPr>
            <w:r>
              <w:rPr>
                <w:rFonts w:ascii="Leelawadee UI" w:hAnsi="Leelawadee UI" w:cs="Leelawadee UI"/>
              </w:rPr>
              <w:t xml:space="preserve">Negative Tests: </w:t>
            </w:r>
            <w:r w:rsidR="007B454E">
              <w:rPr>
                <w:rFonts w:ascii="Leelawadee UI" w:hAnsi="Leelawadee UI" w:cs="Leelawadee UI"/>
              </w:rPr>
              <w:t>“NegativeTesting_CCDS”</w:t>
            </w:r>
            <w:r>
              <w:rPr>
                <w:rFonts w:ascii="Leelawadee UI" w:hAnsi="Leelawadee UI" w:cs="Leelawadee UI"/>
              </w:rPr>
              <w:t xml:space="preserve"> (All</w:t>
            </w:r>
            <w:r w:rsidR="007B454E">
              <w:rPr>
                <w:rFonts w:ascii="Leelawadee UI" w:hAnsi="Leelawadee UI" w:cs="Leelawadee UI"/>
              </w:rPr>
              <w:t xml:space="preserve"> .xml</w:t>
            </w:r>
            <w:r>
              <w:rPr>
                <w:rFonts w:ascii="Leelawadee UI" w:hAnsi="Leelawadee UI" w:cs="Leelawadee UI"/>
              </w:rPr>
              <w:t xml:space="preserve"> samples)</w:t>
            </w:r>
          </w:p>
        </w:tc>
      </w:tr>
      <w:tr w:rsidR="009D5A77" w:rsidTr="00BB36BF">
        <w:trPr>
          <w:trHeight w:val="432"/>
        </w:trPr>
        <w:tc>
          <w:tcPr>
            <w:tcW w:w="8730" w:type="dxa"/>
            <w:gridSpan w:val="2"/>
            <w:shd w:val="clear" w:color="auto" w:fill="DBE5F1" w:themeFill="accent1" w:themeFillTint="33"/>
          </w:tcPr>
          <w:p w:rsidR="009D5A77" w:rsidRDefault="009D5A77" w:rsidP="00BB36BF">
            <w:pPr>
              <w:rPr>
                <w:rFonts w:ascii="Leelawadee UI" w:hAnsi="Leelawadee UI" w:cs="Leelawadee UI"/>
                <w:b/>
              </w:rPr>
            </w:pPr>
            <w:r>
              <w:rPr>
                <w:rFonts w:ascii="Leelawadee UI" w:hAnsi="Leelawadee UI" w:cs="Leelawadee UI"/>
                <w:b/>
              </w:rPr>
              <w:t>Test Tools:</w:t>
            </w:r>
          </w:p>
          <w:p w:rsidR="00686EFF" w:rsidRPr="00D50410" w:rsidRDefault="00140D35" w:rsidP="00140D35">
            <w:pPr>
              <w:pStyle w:val="ListParagraph"/>
              <w:rPr>
                <w:rFonts w:ascii="Leelawadee UI" w:hAnsi="Leelawadee UI" w:cs="Leelawadee UI"/>
              </w:rPr>
            </w:pPr>
            <w:r>
              <w:rPr>
                <w:rFonts w:ascii="Leelawadee UI" w:hAnsi="Leelawadee UI" w:cs="Leelawadee UI"/>
              </w:rPr>
              <w:t xml:space="preserve">Edge Test Tool – Message Validators: </w:t>
            </w:r>
            <w:hyperlink r:id="rId9" w:anchor="/validators" w:history="1">
              <w:r>
                <w:rPr>
                  <w:rStyle w:val="Hyperlink"/>
                </w:rPr>
                <w:t>C-CDA R2.1 Validator</w:t>
              </w:r>
            </w:hyperlink>
          </w:p>
        </w:tc>
      </w:tr>
    </w:tbl>
    <w:p w:rsidR="009D5A77" w:rsidRDefault="009D5A77" w:rsidP="009D5A77"/>
    <w:p w:rsidR="00D2534F" w:rsidRDefault="00D2534F">
      <w:pPr>
        <w:rPr>
          <w:rFonts w:ascii="Arial" w:hAnsi="Arial" w:cs="Arial"/>
          <w:b/>
          <w:bCs/>
          <w:kern w:val="32"/>
          <w:sz w:val="32"/>
          <w:szCs w:val="32"/>
        </w:rPr>
      </w:pPr>
      <w:r>
        <w:br w:type="page"/>
      </w:r>
    </w:p>
    <w:p w:rsidR="00FD7F7E" w:rsidRDefault="00FD7F7E" w:rsidP="00FD7F7E">
      <w:pPr>
        <w:pStyle w:val="Heading1"/>
      </w:pPr>
      <w:bookmarkStart w:id="4" w:name="_Demonstrate_Standards_Support"/>
      <w:bookmarkEnd w:id="4"/>
      <w:r>
        <w:lastRenderedPageBreak/>
        <w:t>Demonstrate Standards Support</w:t>
      </w:r>
    </w:p>
    <w:p w:rsidR="00124587" w:rsidRDefault="00124587" w:rsidP="00124587">
      <w:pPr>
        <w:spacing w:line="360" w:lineRule="auto"/>
        <w:rPr>
          <w:color w:val="D9D9D9" w:themeColor="background1" w:themeShade="D9"/>
        </w:rPr>
      </w:pPr>
    </w:p>
    <w:tbl>
      <w:tblPr>
        <w:tblW w:w="8730" w:type="dxa"/>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10"/>
        <w:gridCol w:w="7020"/>
      </w:tblGrid>
      <w:tr w:rsidR="00124587" w:rsidTr="006A16E9">
        <w:trPr>
          <w:trHeight w:val="432"/>
        </w:trPr>
        <w:tc>
          <w:tcPr>
            <w:tcW w:w="1710" w:type="dxa"/>
            <w:shd w:val="clear" w:color="auto" w:fill="DBE5F1" w:themeFill="accent1" w:themeFillTint="33"/>
          </w:tcPr>
          <w:p w:rsidR="00124587" w:rsidRPr="00255DC9" w:rsidRDefault="00124587" w:rsidP="00BB36BF">
            <w:pPr>
              <w:rPr>
                <w:rFonts w:ascii="Leelawadee UI" w:hAnsi="Leelawadee UI" w:cs="Leelawadee UI"/>
                <w:b/>
              </w:rPr>
            </w:pPr>
            <w:r w:rsidRPr="00255DC9">
              <w:rPr>
                <w:rFonts w:ascii="Leelawadee UI" w:hAnsi="Leelawadee UI" w:cs="Leelawadee UI"/>
                <w:b/>
              </w:rPr>
              <w:t>Test Result</w:t>
            </w:r>
            <w:r>
              <w:rPr>
                <w:rFonts w:ascii="Leelawadee UI" w:hAnsi="Leelawadee UI" w:cs="Leelawadee UI"/>
                <w:b/>
              </w:rPr>
              <w:t>:</w:t>
            </w:r>
          </w:p>
        </w:tc>
        <w:tc>
          <w:tcPr>
            <w:tcW w:w="7020" w:type="dxa"/>
            <w:shd w:val="clear" w:color="auto" w:fill="DBE5F1" w:themeFill="accent1" w:themeFillTint="33"/>
          </w:tcPr>
          <w:p w:rsidR="00124587" w:rsidRPr="00255DC9" w:rsidRDefault="00124587" w:rsidP="001341D4">
            <w:pPr>
              <w:rPr>
                <w:rFonts w:ascii="Leelawadee UI" w:hAnsi="Leelawadee UI" w:cs="Leelawadee UI"/>
              </w:rPr>
            </w:pPr>
            <w:r w:rsidRPr="00255DC9">
              <w:rPr>
                <w:rFonts w:ascii="Leelawadee UI" w:hAnsi="Leelawadee UI" w:cs="Leelawadee UI"/>
              </w:rPr>
              <w:t xml:space="preserve">PASS: </w:t>
            </w:r>
            <w:sdt>
              <w:sdtPr>
                <w:rPr>
                  <w:rFonts w:ascii="Leelawadee UI" w:hAnsi="Leelawadee UI" w:cs="Leelawadee UI"/>
                </w:rPr>
                <w:id w:val="-99887378"/>
                <w14:checkbox>
                  <w14:checked w14:val="0"/>
                  <w14:checkedState w14:val="2612" w14:font="Arial Unicode MS"/>
                  <w14:uncheckedState w14:val="2610" w14:font="Arial Unicode MS"/>
                </w14:checkbox>
              </w:sdtPr>
              <w:sdtEndPr/>
              <w:sdtContent>
                <w:r w:rsidRPr="00255DC9">
                  <w:rPr>
                    <w:rFonts w:ascii="Segoe UI Symbol" w:hAnsi="Segoe UI Symbol" w:cs="Segoe UI Symbol"/>
                  </w:rPr>
                  <w:t>☐</w:t>
                </w:r>
              </w:sdtContent>
            </w:sdt>
            <w:r w:rsidR="006A16E9">
              <w:rPr>
                <w:rFonts w:ascii="Leelawadee UI" w:hAnsi="Leelawadee UI" w:cs="Leelawadee UI"/>
              </w:rPr>
              <w:t xml:space="preserve">      </w:t>
            </w:r>
            <w:r w:rsidRPr="00255DC9">
              <w:rPr>
                <w:rFonts w:ascii="Leelawadee UI" w:hAnsi="Leelawadee UI" w:cs="Leelawadee UI"/>
              </w:rPr>
              <w:t xml:space="preserve">FAIL:  </w:t>
            </w:r>
            <w:sdt>
              <w:sdtPr>
                <w:rPr>
                  <w:rFonts w:ascii="Leelawadee UI" w:hAnsi="Leelawadee UI" w:cs="Leelawadee UI"/>
                </w:rPr>
                <w:id w:val="-940380998"/>
                <w14:checkbox>
                  <w14:checked w14:val="0"/>
                  <w14:checkedState w14:val="2612" w14:font="Arial Unicode MS"/>
                  <w14:uncheckedState w14:val="2610" w14:font="Arial Unicode MS"/>
                </w14:checkbox>
              </w:sdtPr>
              <w:sdtEndPr/>
              <w:sdtContent>
                <w:r w:rsidRPr="00255DC9">
                  <w:rPr>
                    <w:rFonts w:ascii="Segoe UI Symbol" w:hAnsi="Segoe UI Symbol" w:cs="Segoe UI Symbol"/>
                  </w:rPr>
                  <w:t>☐</w:t>
                </w:r>
              </w:sdtContent>
            </w:sdt>
            <w:r w:rsidR="006A16E9">
              <w:rPr>
                <w:rFonts w:ascii="Leelawadee UI" w:hAnsi="Leelawadee UI" w:cs="Leelawadee UI"/>
              </w:rPr>
              <w:t xml:space="preserve">      </w:t>
            </w:r>
            <w:r w:rsidRPr="00255DC9">
              <w:rPr>
                <w:rFonts w:ascii="Leelawadee UI" w:hAnsi="Leelawadee UI" w:cs="Leelawadee UI"/>
              </w:rPr>
              <w:t xml:space="preserve">No Attempt: </w:t>
            </w:r>
            <w:sdt>
              <w:sdtPr>
                <w:rPr>
                  <w:rFonts w:ascii="Leelawadee UI" w:hAnsi="Leelawadee UI" w:cs="Leelawadee UI"/>
                </w:rPr>
                <w:id w:val="345911530"/>
                <w14:checkbox>
                  <w14:checked w14:val="0"/>
                  <w14:checkedState w14:val="2612" w14:font="Arial Unicode MS"/>
                  <w14:uncheckedState w14:val="2610" w14:font="Arial Unicode MS"/>
                </w14:checkbox>
              </w:sdtPr>
              <w:sdtEndPr/>
              <w:sdtContent>
                <w:r>
                  <w:rPr>
                    <w:rFonts w:ascii="MS Gothic" w:eastAsia="MS Gothic" w:hAnsi="MS Gothic" w:cs="Leelawadee UI" w:hint="eastAsia"/>
                  </w:rPr>
                  <w:t>☐</w:t>
                </w:r>
              </w:sdtContent>
            </w:sdt>
            <w:r w:rsidR="006A16E9">
              <w:rPr>
                <w:rFonts w:ascii="Leelawadee UI" w:hAnsi="Leelawadee UI" w:cs="Leelawadee UI"/>
              </w:rPr>
              <w:t xml:space="preserve">      </w:t>
            </w:r>
          </w:p>
        </w:tc>
      </w:tr>
      <w:tr w:rsidR="00124587" w:rsidTr="00BB36BF">
        <w:trPr>
          <w:trHeight w:val="432"/>
        </w:trPr>
        <w:tc>
          <w:tcPr>
            <w:tcW w:w="8730" w:type="dxa"/>
            <w:gridSpan w:val="2"/>
            <w:shd w:val="clear" w:color="auto" w:fill="DBE5F1" w:themeFill="accent1" w:themeFillTint="33"/>
          </w:tcPr>
          <w:p w:rsidR="00124587" w:rsidRPr="00EE7D84" w:rsidRDefault="00124587" w:rsidP="00C216D5">
            <w:pPr>
              <w:rPr>
                <w:rFonts w:ascii="Leelawadee UI" w:hAnsi="Leelawadee UI" w:cs="Leelawadee UI"/>
              </w:rPr>
            </w:pPr>
            <w:r w:rsidRPr="0038714C">
              <w:rPr>
                <w:rFonts w:ascii="Leelawadee UI" w:hAnsi="Leelawadee UI" w:cs="Leelawadee UI"/>
                <w:b/>
              </w:rPr>
              <w:t>Instructions:</w:t>
            </w:r>
            <w:r w:rsidRPr="00255DC9">
              <w:rPr>
                <w:rFonts w:ascii="Leelawadee UI" w:hAnsi="Leelawadee UI" w:cs="Leelawadee UI"/>
              </w:rPr>
              <w:t xml:space="preserve"> </w:t>
            </w:r>
            <w:r>
              <w:rPr>
                <w:rFonts w:ascii="Leelawadee UI" w:hAnsi="Leelawadee UI" w:cs="Leelawadee UI"/>
              </w:rPr>
              <w:t xml:space="preserve"> </w:t>
            </w:r>
            <w:r w:rsidR="00C216D5">
              <w:rPr>
                <w:rFonts w:ascii="Leelawadee UI" w:hAnsi="Leelawadee UI" w:cs="Leelawadee UI"/>
              </w:rPr>
              <w:t>Implement support for standards to demonstrate compliance when receiving summary care records.</w:t>
            </w:r>
          </w:p>
        </w:tc>
      </w:tr>
    </w:tbl>
    <w:p w:rsidR="00124587" w:rsidRDefault="00124587" w:rsidP="00FD7F7E">
      <w:pPr>
        <w:spacing w:line="360" w:lineRule="auto"/>
        <w:rPr>
          <w:color w:val="D9D9D9" w:themeColor="background1" w:themeShade="D9"/>
        </w:rPr>
      </w:pPr>
    </w:p>
    <w:tbl>
      <w:tblPr>
        <w:tblStyle w:val="TableGrid"/>
        <w:tblW w:w="8455" w:type="dxa"/>
        <w:tblLook w:val="04A0" w:firstRow="1" w:lastRow="0" w:firstColumn="1" w:lastColumn="0" w:noHBand="0" w:noVBand="1"/>
      </w:tblPr>
      <w:tblGrid>
        <w:gridCol w:w="456"/>
        <w:gridCol w:w="2689"/>
        <w:gridCol w:w="5310"/>
      </w:tblGrid>
      <w:tr w:rsidR="00CD774E" w:rsidRPr="005F4354" w:rsidTr="00CD774E">
        <w:trPr>
          <w:trHeight w:val="432"/>
        </w:trPr>
        <w:tc>
          <w:tcPr>
            <w:tcW w:w="8455" w:type="dxa"/>
            <w:gridSpan w:val="3"/>
            <w:shd w:val="clear" w:color="auto" w:fill="DBE5F1" w:themeFill="accent1" w:themeFillTint="33"/>
          </w:tcPr>
          <w:p w:rsidR="00CD774E" w:rsidRPr="005F4354" w:rsidRDefault="00CD774E" w:rsidP="00BB36BF">
            <w:pPr>
              <w:rPr>
                <w:rFonts w:ascii="Leelawadee UI" w:hAnsi="Leelawadee UI" w:cs="Leelawadee UI"/>
                <w:b/>
              </w:rPr>
            </w:pPr>
            <w:r w:rsidRPr="00CD774E">
              <w:rPr>
                <w:rFonts w:ascii="Leelawadee UI" w:hAnsi="Leelawadee UI" w:cs="Leelawadee UI"/>
                <w:b/>
              </w:rPr>
              <w:t>§170.205 Content Exchange Standards – Patient Summary Record.</w:t>
            </w:r>
          </w:p>
        </w:tc>
      </w:tr>
      <w:tr w:rsidR="00C216D5" w:rsidTr="00C216D5">
        <w:trPr>
          <w:trHeight w:val="432"/>
        </w:trPr>
        <w:sdt>
          <w:sdtPr>
            <w:id w:val="-41057905"/>
            <w14:checkbox>
              <w14:checked w14:val="0"/>
              <w14:checkedState w14:val="2612" w14:font="Arial Unicode MS"/>
              <w14:uncheckedState w14:val="2610" w14:font="Arial Unicode MS"/>
            </w14:checkbox>
          </w:sdtPr>
          <w:sdtEndPr/>
          <w:sdtContent>
            <w:tc>
              <w:tcPr>
                <w:tcW w:w="456" w:type="dxa"/>
              </w:tcPr>
              <w:p w:rsidR="00C216D5" w:rsidRDefault="00C216D5" w:rsidP="0092448C">
                <w:r w:rsidRPr="000558FE">
                  <w:rPr>
                    <w:rFonts w:ascii="MS Gothic" w:eastAsia="MS Gothic" w:hAnsi="MS Gothic" w:hint="eastAsia"/>
                  </w:rPr>
                  <w:t>☐</w:t>
                </w:r>
              </w:p>
            </w:tc>
          </w:sdtContent>
        </w:sdt>
        <w:tc>
          <w:tcPr>
            <w:tcW w:w="2689" w:type="dxa"/>
          </w:tcPr>
          <w:p w:rsidR="00C216D5" w:rsidRPr="00C216D5" w:rsidRDefault="00C216D5" w:rsidP="00C216D5">
            <w:pPr>
              <w:rPr>
                <w:rFonts w:ascii="TimesNewRoman" w:hAnsi="TimesNewRoman" w:cs="TimesNewRoman"/>
                <w:color w:val="000000" w:themeColor="text1"/>
              </w:rPr>
            </w:pPr>
            <w:r w:rsidRPr="00C216D5">
              <w:rPr>
                <w:rFonts w:ascii="TimesNewRoman" w:hAnsi="TimesNewRoman" w:cs="TimesNewRoman"/>
                <w:color w:val="000000" w:themeColor="text1"/>
              </w:rPr>
              <w:t xml:space="preserve">§170.205(a)(3)  </w:t>
            </w:r>
            <w:r w:rsidRPr="00E074CB">
              <w:rPr>
                <w:rFonts w:ascii="TimesNewRoman" w:hAnsi="TimesNewRoman" w:cs="TimesNewRoman"/>
                <w:color w:val="000000" w:themeColor="text1"/>
              </w:rPr>
              <w:t xml:space="preserve"> </w:t>
            </w:r>
          </w:p>
        </w:tc>
        <w:tc>
          <w:tcPr>
            <w:tcW w:w="5310" w:type="dxa"/>
          </w:tcPr>
          <w:p w:rsidR="00C216D5" w:rsidRPr="00E074CB" w:rsidRDefault="00670695" w:rsidP="0092448C">
            <w:pPr>
              <w:rPr>
                <w:b/>
                <w:color w:val="000000" w:themeColor="text1"/>
              </w:rPr>
            </w:pPr>
            <w:hyperlink r:id="rId10" w:history="1">
              <w:r w:rsidR="006E543D">
                <w:rPr>
                  <w:rStyle w:val="Hyperlink"/>
                </w:rPr>
                <w:t>HL7 Implementation Guide for CDA® Release 2: IHE Health Story Consolidation, DSTU Release 1.1 (US Realm) Draft Standard for Trial Use July 2012</w:t>
              </w:r>
            </w:hyperlink>
          </w:p>
        </w:tc>
      </w:tr>
      <w:tr w:rsidR="00C216D5" w:rsidRPr="00E074CB" w:rsidTr="00C216D5">
        <w:trPr>
          <w:trHeight w:val="432"/>
        </w:trPr>
        <w:sdt>
          <w:sdtPr>
            <w:id w:val="-682278107"/>
            <w14:checkbox>
              <w14:checked w14:val="0"/>
              <w14:checkedState w14:val="2612" w14:font="Arial Unicode MS"/>
              <w14:uncheckedState w14:val="2610" w14:font="Arial Unicode MS"/>
            </w14:checkbox>
          </w:sdtPr>
          <w:sdtEndPr/>
          <w:sdtContent>
            <w:tc>
              <w:tcPr>
                <w:tcW w:w="456" w:type="dxa"/>
              </w:tcPr>
              <w:p w:rsidR="00C216D5" w:rsidRDefault="00C216D5" w:rsidP="0092448C">
                <w:r w:rsidRPr="000558FE">
                  <w:rPr>
                    <w:rFonts w:ascii="MS Gothic" w:eastAsia="MS Gothic" w:hAnsi="MS Gothic" w:hint="eastAsia"/>
                  </w:rPr>
                  <w:t>☐</w:t>
                </w:r>
              </w:p>
            </w:tc>
          </w:sdtContent>
        </w:sdt>
        <w:tc>
          <w:tcPr>
            <w:tcW w:w="2689" w:type="dxa"/>
          </w:tcPr>
          <w:p w:rsidR="00C216D5" w:rsidRPr="00E074CB" w:rsidRDefault="00C216D5" w:rsidP="00C216D5">
            <w:pPr>
              <w:rPr>
                <w:color w:val="000000" w:themeColor="text1"/>
              </w:rPr>
            </w:pPr>
            <w:r w:rsidRPr="00C216D5">
              <w:rPr>
                <w:color w:val="000000" w:themeColor="text1"/>
              </w:rPr>
              <w:t>§170.205(a)(4)</w:t>
            </w:r>
            <w:r w:rsidRPr="00E074CB">
              <w:rPr>
                <w:b/>
                <w:color w:val="000000" w:themeColor="text1"/>
              </w:rPr>
              <w:t xml:space="preserve"> </w:t>
            </w:r>
            <w:r>
              <w:rPr>
                <w:b/>
                <w:i/>
                <w:iCs/>
                <w:color w:val="000000" w:themeColor="text1"/>
              </w:rPr>
              <w:t xml:space="preserve"> </w:t>
            </w:r>
            <w:r w:rsidRPr="00E074CB">
              <w:rPr>
                <w:color w:val="000000" w:themeColor="text1"/>
              </w:rPr>
              <w:t xml:space="preserve"> </w:t>
            </w:r>
          </w:p>
        </w:tc>
        <w:tc>
          <w:tcPr>
            <w:tcW w:w="5310" w:type="dxa"/>
          </w:tcPr>
          <w:p w:rsidR="00C216D5" w:rsidRPr="00E074CB" w:rsidRDefault="00670695" w:rsidP="0092448C">
            <w:pPr>
              <w:rPr>
                <w:b/>
                <w:color w:val="000000" w:themeColor="text1"/>
              </w:rPr>
            </w:pPr>
            <w:hyperlink r:id="rId11" w:history="1">
              <w:r w:rsidR="006E543D">
                <w:rPr>
                  <w:rStyle w:val="Hyperlink"/>
                </w:rPr>
                <w:t>HL7 Implementation Guide for CDA Release 2 Consolidated CDA Templates for Clinical Notes (US Realm), Draft Standard for Trial Use Release 2.1, August 2015</w:t>
              </w:r>
            </w:hyperlink>
          </w:p>
        </w:tc>
      </w:tr>
      <w:tr w:rsidR="00883948" w:rsidRPr="005F4354" w:rsidTr="000C6F74">
        <w:trPr>
          <w:trHeight w:val="432"/>
        </w:trPr>
        <w:tc>
          <w:tcPr>
            <w:tcW w:w="8455" w:type="dxa"/>
            <w:gridSpan w:val="3"/>
            <w:shd w:val="clear" w:color="auto" w:fill="DBE5F1" w:themeFill="accent1" w:themeFillTint="33"/>
          </w:tcPr>
          <w:p w:rsidR="00883948" w:rsidRPr="005F4354" w:rsidRDefault="00883948" w:rsidP="00883948">
            <w:pPr>
              <w:rPr>
                <w:rFonts w:ascii="Leelawadee UI" w:hAnsi="Leelawadee UI" w:cs="Leelawadee UI"/>
                <w:b/>
              </w:rPr>
            </w:pPr>
            <w:r>
              <w:rPr>
                <w:rFonts w:ascii="Leelawadee UI" w:hAnsi="Leelawadee UI" w:cs="Leelawadee UI"/>
                <w:b/>
              </w:rPr>
              <w:t xml:space="preserve">§170.207  </w:t>
            </w:r>
            <w:r w:rsidRPr="00CD774E">
              <w:rPr>
                <w:rFonts w:ascii="Leelawadee UI" w:hAnsi="Leelawadee UI" w:cs="Leelawadee UI"/>
                <w:b/>
              </w:rPr>
              <w:t>Vocabulary standards for representing electronic health information</w:t>
            </w:r>
            <w:r>
              <w:rPr>
                <w:rFonts w:ascii="Leelawadee UI" w:hAnsi="Leelawadee UI" w:cs="Leelawadee UI"/>
                <w:b/>
              </w:rPr>
              <w:t xml:space="preserve"> * </w:t>
            </w:r>
          </w:p>
        </w:tc>
      </w:tr>
      <w:tr w:rsidR="00C216D5" w:rsidRPr="00E074CB" w:rsidTr="00C216D5">
        <w:trPr>
          <w:trHeight w:val="432"/>
        </w:trPr>
        <w:tc>
          <w:tcPr>
            <w:tcW w:w="456" w:type="dxa"/>
          </w:tcPr>
          <w:p w:rsidR="00C216D5" w:rsidRDefault="00C216D5" w:rsidP="00883948"/>
        </w:tc>
        <w:tc>
          <w:tcPr>
            <w:tcW w:w="2689" w:type="dxa"/>
          </w:tcPr>
          <w:p w:rsidR="00C216D5" w:rsidRPr="00CB4D6B" w:rsidRDefault="00C216D5" w:rsidP="00C216D5">
            <w:pPr>
              <w:outlineLvl w:val="3"/>
            </w:pPr>
            <w:r w:rsidRPr="00C216D5">
              <w:t xml:space="preserve">§170.207(a)(4)   </w:t>
            </w:r>
          </w:p>
        </w:tc>
        <w:tc>
          <w:tcPr>
            <w:tcW w:w="5310" w:type="dxa"/>
          </w:tcPr>
          <w:p w:rsidR="00C216D5" w:rsidRPr="00CB4D6B" w:rsidRDefault="00670695" w:rsidP="00883948">
            <w:pPr>
              <w:outlineLvl w:val="3"/>
            </w:pPr>
            <w:hyperlink r:id="rId12" w:history="1">
              <w:r w:rsidR="006E543D">
                <w:rPr>
                  <w:rStyle w:val="Hyperlink"/>
                </w:rPr>
                <w:t>IHTSDO SNOMED CT®, U.S. Edition, September 2015 Release</w:t>
              </w:r>
            </w:hyperlink>
          </w:p>
        </w:tc>
      </w:tr>
      <w:tr w:rsidR="00C216D5" w:rsidRPr="00E074CB" w:rsidTr="00C216D5">
        <w:trPr>
          <w:trHeight w:val="432"/>
        </w:trPr>
        <w:tc>
          <w:tcPr>
            <w:tcW w:w="456" w:type="dxa"/>
          </w:tcPr>
          <w:p w:rsidR="00C216D5" w:rsidRDefault="00C216D5" w:rsidP="00883948"/>
        </w:tc>
        <w:tc>
          <w:tcPr>
            <w:tcW w:w="2689" w:type="dxa"/>
          </w:tcPr>
          <w:p w:rsidR="00C216D5" w:rsidRPr="00CB4D6B" w:rsidRDefault="00C216D5" w:rsidP="00C216D5">
            <w:pPr>
              <w:outlineLvl w:val="3"/>
            </w:pPr>
            <w:r w:rsidRPr="00C216D5">
              <w:t xml:space="preserve">§170.207(b)(2)   </w:t>
            </w:r>
          </w:p>
        </w:tc>
        <w:tc>
          <w:tcPr>
            <w:tcW w:w="5310" w:type="dxa"/>
          </w:tcPr>
          <w:p w:rsidR="00C216D5" w:rsidRPr="00CB4D6B" w:rsidRDefault="00C216D5" w:rsidP="00883948">
            <w:pPr>
              <w:outlineLvl w:val="3"/>
            </w:pPr>
            <w:r w:rsidRPr="00CB4D6B">
              <w:t>45 CFR 162.1002(a)(5)—combination of HCPCS and CPT-4</w:t>
            </w:r>
          </w:p>
        </w:tc>
      </w:tr>
      <w:tr w:rsidR="00C216D5" w:rsidRPr="00E074CB" w:rsidTr="00C216D5">
        <w:trPr>
          <w:trHeight w:val="432"/>
        </w:trPr>
        <w:tc>
          <w:tcPr>
            <w:tcW w:w="456" w:type="dxa"/>
          </w:tcPr>
          <w:p w:rsidR="00C216D5" w:rsidRDefault="00C216D5" w:rsidP="00883948"/>
        </w:tc>
        <w:tc>
          <w:tcPr>
            <w:tcW w:w="2689" w:type="dxa"/>
          </w:tcPr>
          <w:p w:rsidR="00C216D5" w:rsidRPr="003E40F9" w:rsidRDefault="00C216D5" w:rsidP="00C216D5">
            <w:pPr>
              <w:outlineLvl w:val="3"/>
            </w:pPr>
            <w:r w:rsidRPr="00C216D5">
              <w:t xml:space="preserve">§170.207(b)(3)   </w:t>
            </w:r>
          </w:p>
        </w:tc>
        <w:tc>
          <w:tcPr>
            <w:tcW w:w="5310" w:type="dxa"/>
          </w:tcPr>
          <w:p w:rsidR="00C216D5" w:rsidRPr="003E40F9" w:rsidRDefault="00C216D5" w:rsidP="00883948">
            <w:pPr>
              <w:outlineLvl w:val="3"/>
            </w:pPr>
            <w:r w:rsidRPr="003E40F9">
              <w:t>45 CFR 162.1002(a</w:t>
            </w:r>
            <w:proofErr w:type="gramStart"/>
            <w:r w:rsidRPr="003E40F9">
              <w:t>)(</w:t>
            </w:r>
            <w:proofErr w:type="gramEnd"/>
            <w:r w:rsidRPr="003E40F9">
              <w:t>4)—Code on Dental Procedures and Nomenclature.</w:t>
            </w:r>
          </w:p>
        </w:tc>
      </w:tr>
      <w:tr w:rsidR="00C216D5" w:rsidRPr="00E074CB" w:rsidTr="00C216D5">
        <w:trPr>
          <w:trHeight w:val="503"/>
        </w:trPr>
        <w:tc>
          <w:tcPr>
            <w:tcW w:w="456" w:type="dxa"/>
          </w:tcPr>
          <w:p w:rsidR="00C216D5" w:rsidRDefault="00C216D5" w:rsidP="00883948"/>
        </w:tc>
        <w:tc>
          <w:tcPr>
            <w:tcW w:w="2689" w:type="dxa"/>
          </w:tcPr>
          <w:p w:rsidR="00C216D5" w:rsidRPr="003E40F9" w:rsidRDefault="00C216D5" w:rsidP="00C216D5">
            <w:pPr>
              <w:outlineLvl w:val="3"/>
            </w:pPr>
            <w:r w:rsidRPr="00C216D5">
              <w:t xml:space="preserve">§170.207(b)(5)   </w:t>
            </w:r>
          </w:p>
        </w:tc>
        <w:tc>
          <w:tcPr>
            <w:tcW w:w="5310" w:type="dxa"/>
          </w:tcPr>
          <w:p w:rsidR="00C216D5" w:rsidRPr="003E40F9" w:rsidRDefault="00C216D5" w:rsidP="00883948">
            <w:pPr>
              <w:outlineLvl w:val="3"/>
            </w:pPr>
            <w:r w:rsidRPr="003E40F9">
              <w:t>45 CFR 162.1002(c)(3)—ICD-10-PCS</w:t>
            </w:r>
          </w:p>
        </w:tc>
      </w:tr>
      <w:tr w:rsidR="00C216D5" w:rsidRPr="00E074CB" w:rsidTr="00C216D5">
        <w:trPr>
          <w:trHeight w:val="440"/>
        </w:trPr>
        <w:tc>
          <w:tcPr>
            <w:tcW w:w="456" w:type="dxa"/>
          </w:tcPr>
          <w:p w:rsidR="00C216D5" w:rsidRDefault="00C216D5" w:rsidP="00883948"/>
        </w:tc>
        <w:tc>
          <w:tcPr>
            <w:tcW w:w="2689" w:type="dxa"/>
          </w:tcPr>
          <w:p w:rsidR="00C216D5" w:rsidRPr="003E40F9" w:rsidRDefault="00C216D5" w:rsidP="00C216D5">
            <w:pPr>
              <w:outlineLvl w:val="3"/>
            </w:pPr>
            <w:r w:rsidRPr="00C216D5">
              <w:t xml:space="preserve">§170.207(c)(3)   </w:t>
            </w:r>
            <w:r w:rsidRPr="003E40F9">
              <w:t xml:space="preserve"> </w:t>
            </w:r>
          </w:p>
        </w:tc>
        <w:tc>
          <w:tcPr>
            <w:tcW w:w="5310" w:type="dxa"/>
          </w:tcPr>
          <w:p w:rsidR="00C216D5" w:rsidRPr="003E40F9" w:rsidRDefault="00C216D5" w:rsidP="00883948">
            <w:pPr>
              <w:outlineLvl w:val="3"/>
            </w:pPr>
            <w:r w:rsidRPr="003E40F9">
              <w:t>LOINC® Database version 2.52.</w:t>
            </w:r>
          </w:p>
        </w:tc>
      </w:tr>
      <w:tr w:rsidR="00C216D5" w:rsidRPr="00E074CB" w:rsidTr="00C216D5">
        <w:trPr>
          <w:trHeight w:val="530"/>
        </w:trPr>
        <w:tc>
          <w:tcPr>
            <w:tcW w:w="456" w:type="dxa"/>
          </w:tcPr>
          <w:p w:rsidR="00C216D5" w:rsidRDefault="00C216D5" w:rsidP="00883948"/>
        </w:tc>
        <w:tc>
          <w:tcPr>
            <w:tcW w:w="2689" w:type="dxa"/>
          </w:tcPr>
          <w:p w:rsidR="00C216D5" w:rsidRPr="003E40F9" w:rsidRDefault="00C216D5" w:rsidP="00C216D5">
            <w:pPr>
              <w:outlineLvl w:val="3"/>
            </w:pPr>
            <w:r w:rsidRPr="00C216D5">
              <w:t xml:space="preserve">§170.207(d)(3)   </w:t>
            </w:r>
            <w:r w:rsidRPr="003E40F9">
              <w:t xml:space="preserve"> </w:t>
            </w:r>
          </w:p>
        </w:tc>
        <w:tc>
          <w:tcPr>
            <w:tcW w:w="5310" w:type="dxa"/>
          </w:tcPr>
          <w:p w:rsidR="00C216D5" w:rsidRPr="003E40F9" w:rsidRDefault="00C216D5" w:rsidP="00883948">
            <w:pPr>
              <w:outlineLvl w:val="3"/>
            </w:pPr>
            <w:proofErr w:type="spellStart"/>
            <w:r w:rsidRPr="003E40F9">
              <w:t>RxNorm</w:t>
            </w:r>
            <w:proofErr w:type="spellEnd"/>
            <w:r w:rsidRPr="003E40F9">
              <w:t>, September 8, 2015 Release.</w:t>
            </w:r>
          </w:p>
        </w:tc>
      </w:tr>
      <w:tr w:rsidR="00C216D5" w:rsidRPr="00E074CB" w:rsidTr="00C216D5">
        <w:trPr>
          <w:trHeight w:val="432"/>
        </w:trPr>
        <w:tc>
          <w:tcPr>
            <w:tcW w:w="456" w:type="dxa"/>
          </w:tcPr>
          <w:p w:rsidR="00C216D5" w:rsidRDefault="00C216D5" w:rsidP="00883948"/>
        </w:tc>
        <w:tc>
          <w:tcPr>
            <w:tcW w:w="2689" w:type="dxa"/>
          </w:tcPr>
          <w:p w:rsidR="00C216D5" w:rsidRPr="003E40F9" w:rsidRDefault="00C216D5" w:rsidP="00C216D5">
            <w:pPr>
              <w:outlineLvl w:val="3"/>
            </w:pPr>
            <w:r w:rsidRPr="00C216D5">
              <w:t xml:space="preserve">§170.207(e)(3)   </w:t>
            </w:r>
            <w:r w:rsidRPr="003E40F9">
              <w:t xml:space="preserve"> </w:t>
            </w:r>
          </w:p>
        </w:tc>
        <w:tc>
          <w:tcPr>
            <w:tcW w:w="5310" w:type="dxa"/>
          </w:tcPr>
          <w:p w:rsidR="00C216D5" w:rsidRPr="003E40F9" w:rsidRDefault="00C216D5" w:rsidP="00883948">
            <w:pPr>
              <w:outlineLvl w:val="3"/>
            </w:pPr>
            <w:r w:rsidRPr="003E40F9">
              <w:t>HL7 CVX—Vaccines Administered, updates through August 17, 2015.</w:t>
            </w:r>
          </w:p>
        </w:tc>
      </w:tr>
      <w:tr w:rsidR="00C216D5" w:rsidRPr="00E074CB" w:rsidTr="00C216D5">
        <w:trPr>
          <w:trHeight w:val="432"/>
        </w:trPr>
        <w:tc>
          <w:tcPr>
            <w:tcW w:w="456" w:type="dxa"/>
          </w:tcPr>
          <w:p w:rsidR="00C216D5" w:rsidRDefault="00C216D5" w:rsidP="00883948"/>
        </w:tc>
        <w:tc>
          <w:tcPr>
            <w:tcW w:w="2689" w:type="dxa"/>
          </w:tcPr>
          <w:p w:rsidR="00C216D5" w:rsidRPr="003E40F9" w:rsidRDefault="00C216D5" w:rsidP="00CC63E8">
            <w:pPr>
              <w:outlineLvl w:val="3"/>
            </w:pPr>
            <w:r w:rsidRPr="00C216D5">
              <w:t>§170.207</w:t>
            </w:r>
            <w:r w:rsidRPr="00CC63E8">
              <w:t xml:space="preserve">(e)(4)   </w:t>
            </w:r>
            <w:r w:rsidRPr="003E40F9">
              <w:t xml:space="preserve"> </w:t>
            </w:r>
          </w:p>
        </w:tc>
        <w:tc>
          <w:tcPr>
            <w:tcW w:w="5310" w:type="dxa"/>
          </w:tcPr>
          <w:p w:rsidR="00C216D5" w:rsidRPr="003E40F9" w:rsidRDefault="00C216D5" w:rsidP="00883948">
            <w:pPr>
              <w:outlineLvl w:val="3"/>
            </w:pPr>
            <w:r w:rsidRPr="003E40F9">
              <w:t>National Drug Code Directory—Vaccine Codes, updates through August 17, 2015.</w:t>
            </w:r>
          </w:p>
        </w:tc>
      </w:tr>
      <w:tr w:rsidR="00C216D5" w:rsidRPr="00E074CB" w:rsidTr="00C216D5">
        <w:trPr>
          <w:trHeight w:val="432"/>
        </w:trPr>
        <w:tc>
          <w:tcPr>
            <w:tcW w:w="456" w:type="dxa"/>
          </w:tcPr>
          <w:p w:rsidR="00C216D5" w:rsidRDefault="00C216D5" w:rsidP="00883948"/>
        </w:tc>
        <w:tc>
          <w:tcPr>
            <w:tcW w:w="2689" w:type="dxa"/>
          </w:tcPr>
          <w:p w:rsidR="00C216D5" w:rsidRPr="003E40F9" w:rsidRDefault="00C216D5" w:rsidP="00CC63E8">
            <w:pPr>
              <w:outlineLvl w:val="3"/>
            </w:pPr>
            <w:r w:rsidRPr="00C216D5">
              <w:t>§170.207</w:t>
            </w:r>
            <w:r w:rsidRPr="00CC63E8">
              <w:t xml:space="preserve">(f)(1)   </w:t>
            </w:r>
          </w:p>
        </w:tc>
        <w:tc>
          <w:tcPr>
            <w:tcW w:w="5310" w:type="dxa"/>
          </w:tcPr>
          <w:p w:rsidR="00C216D5" w:rsidRPr="003E40F9" w:rsidRDefault="00C216D5" w:rsidP="00C216D5">
            <w:pPr>
              <w:outlineLvl w:val="3"/>
            </w:pPr>
            <w:r w:rsidRPr="003E40F9">
              <w:t>OMB as revised, October 30, 1997.</w:t>
            </w:r>
          </w:p>
        </w:tc>
      </w:tr>
      <w:tr w:rsidR="00CC63E8" w:rsidRPr="00E074CB" w:rsidTr="00CC63E8">
        <w:trPr>
          <w:trHeight w:val="432"/>
        </w:trPr>
        <w:tc>
          <w:tcPr>
            <w:tcW w:w="456" w:type="dxa"/>
          </w:tcPr>
          <w:p w:rsidR="00CC63E8" w:rsidRDefault="00CC63E8" w:rsidP="00883948"/>
        </w:tc>
        <w:tc>
          <w:tcPr>
            <w:tcW w:w="2689" w:type="dxa"/>
          </w:tcPr>
          <w:p w:rsidR="00CC63E8" w:rsidRPr="003E40F9" w:rsidRDefault="00CC63E8" w:rsidP="00CC63E8">
            <w:pPr>
              <w:outlineLvl w:val="3"/>
            </w:pPr>
            <w:r w:rsidRPr="00C216D5">
              <w:t>§170.207</w:t>
            </w:r>
            <w:r w:rsidRPr="00CC63E8">
              <w:t xml:space="preserve">(f)(2)   </w:t>
            </w:r>
            <w:r w:rsidRPr="003E40F9">
              <w:t xml:space="preserve"> </w:t>
            </w:r>
          </w:p>
        </w:tc>
        <w:tc>
          <w:tcPr>
            <w:tcW w:w="5310" w:type="dxa"/>
          </w:tcPr>
          <w:p w:rsidR="00CC63E8" w:rsidRPr="003E40F9" w:rsidRDefault="00CC63E8" w:rsidP="00883948">
            <w:pPr>
              <w:outlineLvl w:val="3"/>
            </w:pPr>
            <w:r w:rsidRPr="003E40F9">
              <w:t>CDC Race and Ethnicity Code Set Version 1.0 (March 2000) (incorporated by reference in § 170.299).</w:t>
            </w:r>
          </w:p>
        </w:tc>
      </w:tr>
      <w:tr w:rsidR="00CC63E8" w:rsidRPr="00E074CB" w:rsidTr="00CC63E8">
        <w:trPr>
          <w:trHeight w:val="432"/>
        </w:trPr>
        <w:tc>
          <w:tcPr>
            <w:tcW w:w="456" w:type="dxa"/>
          </w:tcPr>
          <w:p w:rsidR="00CC63E8" w:rsidRDefault="00CC63E8" w:rsidP="00883948"/>
        </w:tc>
        <w:tc>
          <w:tcPr>
            <w:tcW w:w="2689" w:type="dxa"/>
          </w:tcPr>
          <w:p w:rsidR="00CC63E8" w:rsidRPr="003E40F9" w:rsidRDefault="00CC63E8" w:rsidP="00CC63E8">
            <w:pPr>
              <w:outlineLvl w:val="3"/>
            </w:pPr>
            <w:r w:rsidRPr="00C216D5">
              <w:t>§170.207</w:t>
            </w:r>
            <w:r w:rsidRPr="00CC63E8">
              <w:t xml:space="preserve">(g)(2)   </w:t>
            </w:r>
            <w:r w:rsidRPr="003E40F9">
              <w:t xml:space="preserve"> </w:t>
            </w:r>
          </w:p>
        </w:tc>
        <w:tc>
          <w:tcPr>
            <w:tcW w:w="5310" w:type="dxa"/>
          </w:tcPr>
          <w:p w:rsidR="00CC63E8" w:rsidRPr="003E40F9" w:rsidRDefault="00CC63E8" w:rsidP="00883948">
            <w:pPr>
              <w:outlineLvl w:val="3"/>
            </w:pPr>
            <w:r w:rsidRPr="003E40F9">
              <w:t>Request for Comments (RFC) 5646 (incorporated by reference in § 170.299).</w:t>
            </w:r>
          </w:p>
        </w:tc>
      </w:tr>
      <w:tr w:rsidR="00CC63E8" w:rsidRPr="00E074CB" w:rsidTr="00CC63E8">
        <w:trPr>
          <w:trHeight w:val="432"/>
        </w:trPr>
        <w:tc>
          <w:tcPr>
            <w:tcW w:w="456" w:type="dxa"/>
          </w:tcPr>
          <w:p w:rsidR="00CC63E8" w:rsidRDefault="00CC63E8" w:rsidP="00883948"/>
        </w:tc>
        <w:tc>
          <w:tcPr>
            <w:tcW w:w="2689" w:type="dxa"/>
          </w:tcPr>
          <w:p w:rsidR="00CC63E8" w:rsidRPr="003E40F9" w:rsidRDefault="00CC63E8" w:rsidP="00CC63E8">
            <w:pPr>
              <w:outlineLvl w:val="3"/>
            </w:pPr>
            <w:r w:rsidRPr="00C216D5">
              <w:t>§170.207</w:t>
            </w:r>
            <w:r w:rsidRPr="00CC63E8">
              <w:t xml:space="preserve">(h)   </w:t>
            </w:r>
          </w:p>
        </w:tc>
        <w:tc>
          <w:tcPr>
            <w:tcW w:w="5310" w:type="dxa"/>
          </w:tcPr>
          <w:p w:rsidR="00CC63E8" w:rsidRPr="003E40F9" w:rsidRDefault="00CC63E8" w:rsidP="00883948">
            <w:pPr>
              <w:outlineLvl w:val="3"/>
            </w:pPr>
            <w:r w:rsidRPr="003E40F9">
              <w:t>Smoking status constrained codes from SNOMED CT®.</w:t>
            </w:r>
          </w:p>
        </w:tc>
      </w:tr>
      <w:tr w:rsidR="00CC63E8" w:rsidRPr="00E074CB" w:rsidTr="00CC63E8">
        <w:trPr>
          <w:trHeight w:val="432"/>
        </w:trPr>
        <w:tc>
          <w:tcPr>
            <w:tcW w:w="456" w:type="dxa"/>
          </w:tcPr>
          <w:p w:rsidR="00CC63E8" w:rsidRDefault="00CC63E8" w:rsidP="00883948"/>
        </w:tc>
        <w:tc>
          <w:tcPr>
            <w:tcW w:w="2689" w:type="dxa"/>
          </w:tcPr>
          <w:p w:rsidR="00CC63E8" w:rsidRPr="003E40F9" w:rsidRDefault="00CC63E8" w:rsidP="00CC63E8">
            <w:pPr>
              <w:outlineLvl w:val="3"/>
            </w:pPr>
            <w:r w:rsidRPr="00C216D5">
              <w:t>§170.207</w:t>
            </w:r>
            <w:r w:rsidRPr="00CC63E8">
              <w:t xml:space="preserve">(k)(1)  </w:t>
            </w:r>
            <w:r w:rsidRPr="003E40F9">
              <w:t xml:space="preserve"> </w:t>
            </w:r>
          </w:p>
        </w:tc>
        <w:tc>
          <w:tcPr>
            <w:tcW w:w="5310" w:type="dxa"/>
          </w:tcPr>
          <w:p w:rsidR="00CC63E8" w:rsidRPr="003E40F9" w:rsidRDefault="00CC63E8" w:rsidP="00883948">
            <w:pPr>
              <w:outlineLvl w:val="3"/>
            </w:pPr>
            <w:r w:rsidRPr="003E40F9">
              <w:t>LOINC® version 2.51 (minimum codes: 8480-6, 8462-4, 8302-2, 3141-9, 8867-4, 9279-1, 8310-5, 59408-5, 39156-5, and 8478-0)</w:t>
            </w:r>
          </w:p>
        </w:tc>
      </w:tr>
      <w:tr w:rsidR="00CC63E8" w:rsidRPr="00E074CB" w:rsidTr="00CC63E8">
        <w:trPr>
          <w:trHeight w:val="432"/>
        </w:trPr>
        <w:tc>
          <w:tcPr>
            <w:tcW w:w="456" w:type="dxa"/>
          </w:tcPr>
          <w:p w:rsidR="00CC63E8" w:rsidRDefault="00CC63E8" w:rsidP="00883948"/>
        </w:tc>
        <w:tc>
          <w:tcPr>
            <w:tcW w:w="2689" w:type="dxa"/>
          </w:tcPr>
          <w:p w:rsidR="00CC63E8" w:rsidRPr="003E40F9" w:rsidRDefault="00CC63E8" w:rsidP="00CC63E8">
            <w:pPr>
              <w:outlineLvl w:val="3"/>
            </w:pPr>
            <w:r w:rsidRPr="00C216D5">
              <w:t>§170.207</w:t>
            </w:r>
            <w:r w:rsidRPr="00CC63E8">
              <w:t xml:space="preserve">(m) </w:t>
            </w:r>
          </w:p>
        </w:tc>
        <w:tc>
          <w:tcPr>
            <w:tcW w:w="5310" w:type="dxa"/>
          </w:tcPr>
          <w:p w:rsidR="00CC63E8" w:rsidRPr="003E40F9" w:rsidRDefault="00CC63E8" w:rsidP="00883948">
            <w:pPr>
              <w:outlineLvl w:val="3"/>
            </w:pPr>
            <w:r w:rsidRPr="00543212">
              <w:t>Numerical references—(1) Standard.</w:t>
            </w:r>
            <w:r w:rsidRPr="003E40F9">
              <w:t xml:space="preserve"> The Unified Code of Units of Measure, Revision 1.9 (incorporated by reference in § 170.299).</w:t>
            </w:r>
          </w:p>
        </w:tc>
      </w:tr>
      <w:tr w:rsidR="00CC63E8" w:rsidRPr="00A55F60" w:rsidTr="00CC63E8">
        <w:trPr>
          <w:trHeight w:val="432"/>
        </w:trPr>
        <w:tc>
          <w:tcPr>
            <w:tcW w:w="456" w:type="dxa"/>
          </w:tcPr>
          <w:p w:rsidR="00CC63E8" w:rsidRDefault="00CC63E8" w:rsidP="00883948"/>
        </w:tc>
        <w:tc>
          <w:tcPr>
            <w:tcW w:w="2689" w:type="dxa"/>
          </w:tcPr>
          <w:p w:rsidR="00CC63E8" w:rsidRDefault="00CC63E8" w:rsidP="00CC63E8">
            <w:pPr>
              <w:outlineLvl w:val="3"/>
            </w:pPr>
            <w:r w:rsidRPr="00C216D5">
              <w:t>§170.207</w:t>
            </w:r>
            <w:r w:rsidRPr="00CC63E8">
              <w:t xml:space="preserve">(n)(1)   </w:t>
            </w:r>
          </w:p>
          <w:p w:rsidR="00CC63E8" w:rsidRDefault="00CC63E8" w:rsidP="00883948">
            <w:pPr>
              <w:outlineLvl w:val="3"/>
            </w:pPr>
          </w:p>
        </w:tc>
        <w:tc>
          <w:tcPr>
            <w:tcW w:w="5310" w:type="dxa"/>
          </w:tcPr>
          <w:p w:rsidR="00CC63E8" w:rsidRDefault="00CC63E8" w:rsidP="00CC63E8">
            <w:pPr>
              <w:outlineLvl w:val="3"/>
            </w:pPr>
            <w:r w:rsidRPr="003E40F9">
              <w:t xml:space="preserve">Birth sex must be coded in accordance with HL7 Version 3 Standard, Value Sets for </w:t>
            </w:r>
            <w:proofErr w:type="spellStart"/>
            <w:r w:rsidRPr="003E40F9">
              <w:t>AdministrativeGender</w:t>
            </w:r>
            <w:proofErr w:type="spellEnd"/>
            <w:r w:rsidRPr="003E40F9">
              <w:t xml:space="preserve"> and </w:t>
            </w:r>
            <w:proofErr w:type="spellStart"/>
            <w:r w:rsidRPr="003E40F9">
              <w:t>NullFlavor</w:t>
            </w:r>
            <w:proofErr w:type="spellEnd"/>
            <w:r w:rsidRPr="003E40F9">
              <w:t xml:space="preserve"> (incorporated by reference in § 170.299), attributed as follows:</w:t>
            </w:r>
          </w:p>
          <w:p w:rsidR="00CC63E8" w:rsidRDefault="00CC63E8" w:rsidP="00CC63E8">
            <w:pPr>
              <w:outlineLvl w:val="3"/>
            </w:pPr>
            <w:r w:rsidRPr="00883948">
              <w:t>(</w:t>
            </w:r>
            <w:proofErr w:type="spellStart"/>
            <w:r w:rsidRPr="00883948">
              <w:t>i</w:t>
            </w:r>
            <w:proofErr w:type="spellEnd"/>
            <w:r w:rsidRPr="00883948">
              <w:t>) Male. M (ii) Female. F</w:t>
            </w:r>
            <w:r w:rsidR="00A951FA">
              <w:t xml:space="preserve"> </w:t>
            </w:r>
          </w:p>
          <w:p w:rsidR="00CC63E8" w:rsidRPr="003E40F9" w:rsidRDefault="00CC63E8" w:rsidP="00883948">
            <w:pPr>
              <w:outlineLvl w:val="3"/>
            </w:pPr>
            <w:r w:rsidRPr="00883948">
              <w:t xml:space="preserve">(iii) Unknown. </w:t>
            </w:r>
            <w:proofErr w:type="spellStart"/>
            <w:r w:rsidRPr="00883948">
              <w:t>nullFlavor</w:t>
            </w:r>
            <w:proofErr w:type="spellEnd"/>
            <w:r w:rsidRPr="00883948">
              <w:t xml:space="preserve"> UNK</w:t>
            </w:r>
          </w:p>
        </w:tc>
      </w:tr>
      <w:tr w:rsidR="00883948" w:rsidRPr="005F4354" w:rsidTr="000C6F74">
        <w:trPr>
          <w:trHeight w:val="432"/>
        </w:trPr>
        <w:tc>
          <w:tcPr>
            <w:tcW w:w="8455" w:type="dxa"/>
            <w:gridSpan w:val="3"/>
            <w:shd w:val="clear" w:color="auto" w:fill="DBE5F1" w:themeFill="accent1" w:themeFillTint="33"/>
          </w:tcPr>
          <w:p w:rsidR="00883948" w:rsidRPr="005F4354" w:rsidRDefault="00883948" w:rsidP="000C6F74">
            <w:pPr>
              <w:rPr>
                <w:rFonts w:ascii="Leelawadee UI" w:hAnsi="Leelawadee UI" w:cs="Leelawadee UI"/>
                <w:b/>
              </w:rPr>
            </w:pPr>
            <w:r w:rsidRPr="00883948">
              <w:rPr>
                <w:rFonts w:ascii="Leelawadee UI" w:hAnsi="Leelawadee UI" w:cs="Leelawadee UI"/>
                <w:b/>
              </w:rPr>
              <w:t>§170.210   Standards for health information technology to protect electronic health information created, maintained, and exchanged.</w:t>
            </w:r>
          </w:p>
        </w:tc>
      </w:tr>
      <w:tr w:rsidR="00CC63E8" w:rsidRPr="00E074CB" w:rsidTr="00CC63E8">
        <w:trPr>
          <w:trHeight w:val="432"/>
        </w:trPr>
        <w:sdt>
          <w:sdtPr>
            <w:id w:val="-1965577061"/>
            <w14:checkbox>
              <w14:checked w14:val="0"/>
              <w14:checkedState w14:val="2612" w14:font="Arial Unicode MS"/>
              <w14:uncheckedState w14:val="2610" w14:font="Arial Unicode MS"/>
            </w14:checkbox>
          </w:sdtPr>
          <w:sdtEndPr/>
          <w:sdtContent>
            <w:tc>
              <w:tcPr>
                <w:tcW w:w="456" w:type="dxa"/>
              </w:tcPr>
              <w:p w:rsidR="00CC63E8" w:rsidRDefault="00CC63E8" w:rsidP="000C6F74">
                <w:r>
                  <w:rPr>
                    <w:rFonts w:ascii="MS Gothic" w:eastAsia="MS Gothic" w:hAnsi="MS Gothic" w:hint="eastAsia"/>
                  </w:rPr>
                  <w:t>☐</w:t>
                </w:r>
              </w:p>
            </w:tc>
          </w:sdtContent>
        </w:sdt>
        <w:tc>
          <w:tcPr>
            <w:tcW w:w="2689" w:type="dxa"/>
          </w:tcPr>
          <w:p w:rsidR="00CC63E8" w:rsidRPr="00A272C2" w:rsidRDefault="00CC63E8" w:rsidP="00CC63E8">
            <w:pPr>
              <w:outlineLvl w:val="3"/>
              <w:rPr>
                <w:color w:val="000000" w:themeColor="text1"/>
              </w:rPr>
            </w:pPr>
            <w:r w:rsidRPr="00CC63E8">
              <w:rPr>
                <w:color w:val="000000" w:themeColor="text1"/>
              </w:rPr>
              <w:t>§170.210(g)</w:t>
            </w:r>
            <w:r w:rsidRPr="00A55F60">
              <w:rPr>
                <w:rFonts w:ascii="TimesNewRoman" w:hAnsi="TimesNewRoman" w:cs="TimesNewRoman"/>
                <w:b/>
                <w:i/>
              </w:rPr>
              <w:t xml:space="preserve"> </w:t>
            </w:r>
            <w:r>
              <w:rPr>
                <w:rFonts w:ascii="TimesNewRoman" w:hAnsi="TimesNewRoman" w:cs="TimesNewRoman"/>
                <w:b/>
                <w:i/>
              </w:rPr>
              <w:t xml:space="preserve"> </w:t>
            </w:r>
            <w:r w:rsidRPr="00B06B43">
              <w:rPr>
                <w:rFonts w:ascii="TimesNewRoman" w:hAnsi="TimesNewRoman" w:cs="TimesNewRoman"/>
              </w:rPr>
              <w:t xml:space="preserve"> </w:t>
            </w:r>
          </w:p>
        </w:tc>
        <w:tc>
          <w:tcPr>
            <w:tcW w:w="5310" w:type="dxa"/>
          </w:tcPr>
          <w:p w:rsidR="00CC63E8" w:rsidRPr="00E074CB" w:rsidRDefault="00CC63E8" w:rsidP="000C6F74">
            <w:pPr>
              <w:outlineLvl w:val="3"/>
              <w:rPr>
                <w:b/>
                <w:color w:val="000000" w:themeColor="text1"/>
              </w:rPr>
            </w:pPr>
            <w:r w:rsidRPr="00A272C2">
              <w:rPr>
                <w:color w:val="000000" w:themeColor="text1"/>
              </w:rPr>
              <w:t>Synchronized clocks. The date and time recorded utilize a system clock that has been synchronized following (RFC 1305) Network Time Protocol, (incorporated by reference in §170.299) or (RFC 5905) Network Time Protocol Version 4, (incorporated by reference in §170.299).</w:t>
            </w:r>
          </w:p>
        </w:tc>
      </w:tr>
    </w:tbl>
    <w:p w:rsidR="00B0206F" w:rsidRDefault="00B0206F" w:rsidP="00FD7F7E"/>
    <w:p w:rsidR="00DD40F3" w:rsidRDefault="00DD40F3" w:rsidP="00FD7F7E"/>
    <w:p w:rsidR="00C62AF6" w:rsidRDefault="00C62AF6">
      <w:r>
        <w:br w:type="page"/>
      </w:r>
    </w:p>
    <w:p w:rsidR="009A1DB9" w:rsidRDefault="00403D96" w:rsidP="009A1DB9">
      <w:pPr>
        <w:pStyle w:val="Heading1"/>
      </w:pPr>
      <w:bookmarkStart w:id="5" w:name="_170.315(b)(5)_Common_Clinical"/>
      <w:bookmarkEnd w:id="5"/>
      <w:r>
        <w:lastRenderedPageBreak/>
        <w:t>170.315(b</w:t>
      </w:r>
      <w:proofErr w:type="gramStart"/>
      <w:r>
        <w:t>)(</w:t>
      </w:r>
      <w:proofErr w:type="gramEnd"/>
      <w:r w:rsidR="00F059B0">
        <w:t>5</w:t>
      </w:r>
      <w:r>
        <w:t>)</w:t>
      </w:r>
      <w:r w:rsidR="009A1DB9" w:rsidRPr="00704B8A">
        <w:t xml:space="preserve"> </w:t>
      </w:r>
      <w:r w:rsidR="00503E81">
        <w:t>Common Clinical Data Set Summary Record - Receive</w:t>
      </w:r>
    </w:p>
    <w:p w:rsidR="009A1DB9" w:rsidRPr="00255DC9" w:rsidRDefault="009A1DB9" w:rsidP="009A1DB9"/>
    <w:tbl>
      <w:tblPr>
        <w:tblW w:w="8730" w:type="dxa"/>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20"/>
        <w:gridCol w:w="6210"/>
      </w:tblGrid>
      <w:tr w:rsidR="009A1DB9" w:rsidTr="00E46DD4">
        <w:trPr>
          <w:trHeight w:val="432"/>
        </w:trPr>
        <w:tc>
          <w:tcPr>
            <w:tcW w:w="2520" w:type="dxa"/>
            <w:shd w:val="clear" w:color="auto" w:fill="DBE5F1" w:themeFill="accent1" w:themeFillTint="33"/>
          </w:tcPr>
          <w:p w:rsidR="009A1DB9" w:rsidRPr="00255DC9" w:rsidRDefault="009A1DB9" w:rsidP="00E46DD4">
            <w:pPr>
              <w:rPr>
                <w:rFonts w:ascii="Leelawadee UI" w:hAnsi="Leelawadee UI" w:cs="Leelawadee UI"/>
                <w:b/>
              </w:rPr>
            </w:pPr>
            <w:r w:rsidRPr="00255DC9">
              <w:rPr>
                <w:rFonts w:ascii="Leelawadee UI" w:hAnsi="Leelawadee UI" w:cs="Leelawadee UI"/>
                <w:b/>
              </w:rPr>
              <w:t>Test Result</w:t>
            </w:r>
            <w:r>
              <w:rPr>
                <w:rFonts w:ascii="Leelawadee UI" w:hAnsi="Leelawadee UI" w:cs="Leelawadee UI"/>
                <w:b/>
              </w:rPr>
              <w:t>:</w:t>
            </w:r>
          </w:p>
        </w:tc>
        <w:tc>
          <w:tcPr>
            <w:tcW w:w="6210" w:type="dxa"/>
            <w:shd w:val="clear" w:color="auto" w:fill="DBE5F1" w:themeFill="accent1" w:themeFillTint="33"/>
          </w:tcPr>
          <w:p w:rsidR="009A1DB9" w:rsidRPr="00255DC9" w:rsidRDefault="009A1DB9" w:rsidP="00E46DD4">
            <w:pPr>
              <w:rPr>
                <w:rFonts w:ascii="Leelawadee UI" w:hAnsi="Leelawadee UI" w:cs="Leelawadee UI"/>
              </w:rPr>
            </w:pPr>
            <w:r w:rsidRPr="00255DC9">
              <w:rPr>
                <w:rFonts w:ascii="Leelawadee UI" w:hAnsi="Leelawadee UI" w:cs="Leelawadee UI"/>
              </w:rPr>
              <w:t xml:space="preserve">PASS: </w:t>
            </w:r>
            <w:sdt>
              <w:sdtPr>
                <w:rPr>
                  <w:rFonts w:ascii="Leelawadee UI" w:hAnsi="Leelawadee UI" w:cs="Leelawadee UI"/>
                </w:rPr>
                <w:id w:val="-959803068"/>
                <w14:checkbox>
                  <w14:checked w14:val="0"/>
                  <w14:checkedState w14:val="2612" w14:font="Arial Unicode MS"/>
                  <w14:uncheckedState w14:val="2610" w14:font="Arial Unicode MS"/>
                </w14:checkbox>
              </w:sdtPr>
              <w:sdtEndPr/>
              <w:sdtContent>
                <w:r w:rsidRPr="00255DC9">
                  <w:rPr>
                    <w:rFonts w:ascii="Segoe UI Symbol" w:hAnsi="Segoe UI Symbol" w:cs="Segoe UI Symbol"/>
                  </w:rPr>
                  <w:t>☐</w:t>
                </w:r>
              </w:sdtContent>
            </w:sdt>
            <w:r w:rsidRPr="00255DC9">
              <w:rPr>
                <w:rFonts w:ascii="Leelawadee UI" w:hAnsi="Leelawadee UI" w:cs="Leelawadee UI"/>
              </w:rPr>
              <w:t xml:space="preserve">          FAIL:  </w:t>
            </w:r>
            <w:sdt>
              <w:sdtPr>
                <w:rPr>
                  <w:rFonts w:ascii="Leelawadee UI" w:hAnsi="Leelawadee UI" w:cs="Leelawadee UI"/>
                </w:rPr>
                <w:id w:val="1324096236"/>
                <w14:checkbox>
                  <w14:checked w14:val="0"/>
                  <w14:checkedState w14:val="2612" w14:font="Arial Unicode MS"/>
                  <w14:uncheckedState w14:val="2610" w14:font="Arial Unicode MS"/>
                </w14:checkbox>
              </w:sdtPr>
              <w:sdtEndPr/>
              <w:sdtContent>
                <w:r w:rsidRPr="00255DC9">
                  <w:rPr>
                    <w:rFonts w:ascii="Segoe UI Symbol" w:hAnsi="Segoe UI Symbol" w:cs="Segoe UI Symbol"/>
                  </w:rPr>
                  <w:t>☐</w:t>
                </w:r>
              </w:sdtContent>
            </w:sdt>
            <w:r w:rsidRPr="00255DC9">
              <w:rPr>
                <w:rFonts w:ascii="Leelawadee UI" w:hAnsi="Leelawadee UI" w:cs="Leelawadee UI"/>
              </w:rPr>
              <w:t xml:space="preserve">          No Attempt: </w:t>
            </w:r>
            <w:sdt>
              <w:sdtPr>
                <w:rPr>
                  <w:rFonts w:ascii="Leelawadee UI" w:hAnsi="Leelawadee UI" w:cs="Leelawadee UI"/>
                </w:rPr>
                <w:id w:val="293719739"/>
                <w14:checkbox>
                  <w14:checked w14:val="0"/>
                  <w14:checkedState w14:val="2612" w14:font="Arial Unicode MS"/>
                  <w14:uncheckedState w14:val="2610" w14:font="Arial Unicode MS"/>
                </w14:checkbox>
              </w:sdtPr>
              <w:sdtEndPr/>
              <w:sdtContent>
                <w:r>
                  <w:rPr>
                    <w:rFonts w:ascii="MS Gothic" w:eastAsia="MS Gothic" w:hAnsi="MS Gothic" w:cs="Leelawadee UI" w:hint="eastAsia"/>
                  </w:rPr>
                  <w:t>☐</w:t>
                </w:r>
              </w:sdtContent>
            </w:sdt>
            <w:r w:rsidRPr="00255DC9">
              <w:rPr>
                <w:rFonts w:ascii="Leelawadee UI" w:hAnsi="Leelawadee UI" w:cs="Leelawadee UI"/>
              </w:rPr>
              <w:t xml:space="preserve">  </w:t>
            </w:r>
          </w:p>
        </w:tc>
      </w:tr>
      <w:tr w:rsidR="009A1DB9" w:rsidTr="00E46DD4">
        <w:trPr>
          <w:trHeight w:val="432"/>
        </w:trPr>
        <w:tc>
          <w:tcPr>
            <w:tcW w:w="8730" w:type="dxa"/>
            <w:gridSpan w:val="2"/>
            <w:shd w:val="clear" w:color="auto" w:fill="DBE5F1" w:themeFill="accent1" w:themeFillTint="33"/>
          </w:tcPr>
          <w:p w:rsidR="009A1DB9" w:rsidRPr="00D052DB" w:rsidRDefault="009A1DB9" w:rsidP="00273F18">
            <w:pPr>
              <w:rPr>
                <w:rFonts w:ascii="Leelawadee UI" w:hAnsi="Leelawadee UI" w:cs="Leelawadee UI"/>
              </w:rPr>
            </w:pPr>
            <w:r w:rsidRPr="00255DC9">
              <w:rPr>
                <w:rFonts w:ascii="Leelawadee UI" w:hAnsi="Leelawadee UI" w:cs="Leelawadee UI"/>
                <w:b/>
              </w:rPr>
              <w:t>Instructions:</w:t>
            </w:r>
            <w:r w:rsidRPr="00255DC9">
              <w:rPr>
                <w:rFonts w:ascii="Leelawadee UI" w:hAnsi="Leelawadee UI" w:cs="Leelawadee UI"/>
              </w:rPr>
              <w:t xml:space="preserve"> </w:t>
            </w:r>
            <w:r w:rsidR="00273F18">
              <w:t xml:space="preserve"> User</w:t>
            </w:r>
            <w:r w:rsidR="008066D1">
              <w:t xml:space="preserve"> import</w:t>
            </w:r>
            <w:r w:rsidR="00273F18">
              <w:t>s</w:t>
            </w:r>
            <w:r w:rsidR="008066D1">
              <w:t>/receive all required Continuity of Care Document, Referral Note and Dischar</w:t>
            </w:r>
            <w:r w:rsidR="00273F18">
              <w:t>ge Summary test case CCDA files which are validated, parsed and displayed in full and by</w:t>
            </w:r>
            <w:r w:rsidR="001C46F5">
              <w:t xml:space="preserve"> individual</w:t>
            </w:r>
            <w:r w:rsidR="00273F18">
              <w:t xml:space="preserve"> sections based on user preference.</w:t>
            </w:r>
          </w:p>
        </w:tc>
      </w:tr>
      <w:tr w:rsidR="009A1DB9" w:rsidTr="00E46DD4">
        <w:trPr>
          <w:trHeight w:val="432"/>
        </w:trPr>
        <w:tc>
          <w:tcPr>
            <w:tcW w:w="8730" w:type="dxa"/>
            <w:gridSpan w:val="2"/>
            <w:shd w:val="clear" w:color="auto" w:fill="DBE5F1" w:themeFill="accent1" w:themeFillTint="33"/>
          </w:tcPr>
          <w:p w:rsidR="009A1DB9" w:rsidRDefault="009A1DB9" w:rsidP="00E46DD4">
            <w:pPr>
              <w:rPr>
                <w:rFonts w:ascii="Leelawadee UI" w:hAnsi="Leelawadee UI" w:cs="Leelawadee UI"/>
                <w:b/>
              </w:rPr>
            </w:pPr>
            <w:r w:rsidRPr="008D0D3C">
              <w:rPr>
                <w:rFonts w:ascii="Leelawadee UI" w:hAnsi="Leelawadee UI" w:cs="Leelawadee UI"/>
                <w:b/>
              </w:rPr>
              <w:t>Expected Test Result:</w:t>
            </w:r>
            <w:r w:rsidRPr="00255DC9">
              <w:rPr>
                <w:rFonts w:ascii="Leelawadee UI" w:hAnsi="Leelawadee UI" w:cs="Leelawadee UI"/>
                <w:b/>
              </w:rPr>
              <w:t xml:space="preserve"> </w:t>
            </w:r>
          </w:p>
          <w:p w:rsidR="0076130D" w:rsidRDefault="0076130D" w:rsidP="0076130D">
            <w:pPr>
              <w:numPr>
                <w:ilvl w:val="0"/>
                <w:numId w:val="27"/>
              </w:numPr>
            </w:pPr>
            <w:r>
              <w:t xml:space="preserve">Enable a user </w:t>
            </w:r>
            <w:r w:rsidRPr="0076130D">
              <w:t xml:space="preserve">to receive a transition of care/referral summary formatted in accordance with the standards adopted in § 170.205(a)(3) and § 170.205(a)(4) using the Continuity of Care Document, Referral Note, and (for inpatient settings only) Discharge Summary document templates, and at a minimum: </w:t>
            </w:r>
          </w:p>
          <w:p w:rsidR="0076130D" w:rsidRPr="0076130D" w:rsidRDefault="0076130D" w:rsidP="0076130D">
            <w:pPr>
              <w:pStyle w:val="ListParagraph"/>
              <w:numPr>
                <w:ilvl w:val="0"/>
                <w:numId w:val="36"/>
              </w:numPr>
              <w:rPr>
                <w:b/>
              </w:rPr>
            </w:pPr>
            <w:r>
              <w:rPr>
                <w:b/>
              </w:rPr>
              <w:t>The Common Clinical Data Set;</w:t>
            </w:r>
            <w:r w:rsidRPr="0076130D">
              <w:rPr>
                <w:b/>
              </w:rPr>
              <w:t xml:space="preserve">  </w:t>
            </w:r>
          </w:p>
          <w:p w:rsidR="0076130D" w:rsidRDefault="0076130D" w:rsidP="0076130D">
            <w:pPr>
              <w:pStyle w:val="ListParagraph"/>
              <w:numPr>
                <w:ilvl w:val="0"/>
                <w:numId w:val="36"/>
              </w:numPr>
            </w:pPr>
            <w:r w:rsidRPr="0076130D">
              <w:rPr>
                <w:b/>
              </w:rPr>
              <w:t>Encounter diagnoses</w:t>
            </w:r>
            <w:r w:rsidRPr="0076130D">
              <w:t xml:space="preserve">. Formatted according to at least one of the following standards: </w:t>
            </w:r>
            <w:r>
              <w:t>the standard specified in §170.207(</w:t>
            </w:r>
            <w:proofErr w:type="spellStart"/>
            <w:r>
              <w:t>i</w:t>
            </w:r>
            <w:proofErr w:type="spellEnd"/>
            <w:r>
              <w:t>) or a</w:t>
            </w:r>
            <w:r w:rsidRPr="0076130D">
              <w:t>t a minimum, the version of the standard specified in §</w:t>
            </w:r>
            <w:r>
              <w:t xml:space="preserve"> 170.207(a)(4);</w:t>
            </w:r>
            <w:r w:rsidRPr="0076130D">
              <w:t xml:space="preserve"> </w:t>
            </w:r>
          </w:p>
          <w:p w:rsidR="0076130D" w:rsidRPr="0076130D" w:rsidRDefault="0076130D" w:rsidP="0076130D">
            <w:pPr>
              <w:pStyle w:val="ListParagraph"/>
              <w:numPr>
                <w:ilvl w:val="0"/>
                <w:numId w:val="36"/>
              </w:numPr>
              <w:rPr>
                <w:b/>
              </w:rPr>
            </w:pPr>
            <w:r w:rsidRPr="0076130D">
              <w:rPr>
                <w:b/>
              </w:rPr>
              <w:t>Cognitive Status</w:t>
            </w:r>
            <w:r>
              <w:rPr>
                <w:b/>
              </w:rPr>
              <w:t>;</w:t>
            </w:r>
            <w:r w:rsidRPr="0076130D">
              <w:rPr>
                <w:b/>
              </w:rPr>
              <w:t xml:space="preserve"> </w:t>
            </w:r>
          </w:p>
          <w:p w:rsidR="0076130D" w:rsidRDefault="0076130D" w:rsidP="0076130D">
            <w:pPr>
              <w:pStyle w:val="ListParagraph"/>
              <w:numPr>
                <w:ilvl w:val="0"/>
                <w:numId w:val="36"/>
              </w:numPr>
            </w:pPr>
            <w:r w:rsidRPr="0076130D">
              <w:rPr>
                <w:b/>
              </w:rPr>
              <w:t>Functional Status</w:t>
            </w:r>
            <w:r>
              <w:rPr>
                <w:b/>
              </w:rPr>
              <w:t>;</w:t>
            </w:r>
            <w:r w:rsidRPr="0076130D">
              <w:t xml:space="preserve"> </w:t>
            </w:r>
          </w:p>
          <w:p w:rsidR="0076130D" w:rsidRDefault="0076130D" w:rsidP="0076130D">
            <w:pPr>
              <w:pStyle w:val="ListParagraph"/>
              <w:numPr>
                <w:ilvl w:val="0"/>
                <w:numId w:val="36"/>
              </w:numPr>
            </w:pPr>
            <w:r w:rsidRPr="0076130D">
              <w:rPr>
                <w:b/>
              </w:rPr>
              <w:t>Ambulatory setting only</w:t>
            </w:r>
            <w:r w:rsidRPr="0076130D">
              <w:t>. The reason for referral; and referring or transitioning provider's name and office contact information</w:t>
            </w:r>
            <w:r>
              <w:t xml:space="preserve">; and </w:t>
            </w:r>
            <w:r w:rsidRPr="0076130D">
              <w:t xml:space="preserve"> </w:t>
            </w:r>
          </w:p>
          <w:p w:rsidR="0076130D" w:rsidRDefault="0076130D" w:rsidP="0076130D">
            <w:pPr>
              <w:pStyle w:val="ListParagraph"/>
              <w:numPr>
                <w:ilvl w:val="0"/>
                <w:numId w:val="36"/>
              </w:numPr>
            </w:pPr>
            <w:r w:rsidRPr="0076130D">
              <w:rPr>
                <w:b/>
              </w:rPr>
              <w:t>Inpatient setting only</w:t>
            </w:r>
            <w:r w:rsidRPr="0076130D">
              <w:t>. Discharge Instructions</w:t>
            </w:r>
            <w:r>
              <w:t>.</w:t>
            </w:r>
          </w:p>
          <w:p w:rsidR="00C9454F" w:rsidRDefault="00C9454F" w:rsidP="00C9454F">
            <w:pPr>
              <w:numPr>
                <w:ilvl w:val="0"/>
                <w:numId w:val="27"/>
              </w:numPr>
            </w:pPr>
            <w:r w:rsidRPr="00C9454F">
              <w:t>Demonstrate the following functionalities for the document received in accordance with paragraph (b)(5)(</w:t>
            </w:r>
            <w:proofErr w:type="spellStart"/>
            <w:r w:rsidRPr="00C9454F">
              <w:t>i</w:t>
            </w:r>
            <w:proofErr w:type="spellEnd"/>
            <w:r w:rsidRPr="00C9454F">
              <w:t xml:space="preserve">) of this section: </w:t>
            </w:r>
          </w:p>
          <w:p w:rsidR="00C9454F" w:rsidRDefault="00C9454F" w:rsidP="00C9454F">
            <w:pPr>
              <w:pStyle w:val="ListParagraph"/>
              <w:numPr>
                <w:ilvl w:val="0"/>
                <w:numId w:val="38"/>
              </w:numPr>
            </w:pPr>
            <w:r w:rsidRPr="00C9454F">
              <w:rPr>
                <w:b/>
              </w:rPr>
              <w:t>Validate C-CDA conformance</w:t>
            </w:r>
            <w:r w:rsidRPr="00C9454F">
              <w:t xml:space="preserve"> – system performance. Detect valid and invalid transition of care/referral summaries including the ability to:  </w:t>
            </w:r>
          </w:p>
          <w:p w:rsidR="00C9454F" w:rsidRDefault="00C9454F" w:rsidP="00C9454F">
            <w:pPr>
              <w:pStyle w:val="ListParagraph"/>
              <w:numPr>
                <w:ilvl w:val="0"/>
                <w:numId w:val="39"/>
              </w:numPr>
              <w:ind w:left="2412"/>
            </w:pPr>
            <w:r w:rsidRPr="00C9454F">
              <w:t xml:space="preserve">Parse each of the document types formatted according to the following document templates: Continuity of Care Document, Referral Note, and (inpatient setting only) Discharge Summary.    </w:t>
            </w:r>
          </w:p>
          <w:p w:rsidR="00C9454F" w:rsidRDefault="00C9454F" w:rsidP="00C9454F">
            <w:pPr>
              <w:pStyle w:val="ListParagraph"/>
              <w:numPr>
                <w:ilvl w:val="0"/>
                <w:numId w:val="39"/>
              </w:numPr>
              <w:ind w:left="2412"/>
            </w:pPr>
            <w:r w:rsidRPr="00C9454F">
              <w:t>Detect errors in corresponding “document-templates,” “section-templates,” and “entry-templates,” including invalid vocabulary standards and codes not specified in the standards adopted in § 170.205(a</w:t>
            </w:r>
            <w:proofErr w:type="gramStart"/>
            <w:r w:rsidRPr="00C9454F">
              <w:t>)(</w:t>
            </w:r>
            <w:proofErr w:type="gramEnd"/>
            <w:r w:rsidRPr="00C9454F">
              <w:t xml:space="preserve">3) and § 170.205(a)(4). </w:t>
            </w:r>
          </w:p>
          <w:p w:rsidR="00C9454F" w:rsidRDefault="00C9454F" w:rsidP="00C9454F">
            <w:pPr>
              <w:pStyle w:val="ListParagraph"/>
              <w:numPr>
                <w:ilvl w:val="0"/>
                <w:numId w:val="39"/>
              </w:numPr>
              <w:ind w:left="2412"/>
            </w:pPr>
            <w:r w:rsidRPr="00C9454F">
              <w:t>Identify valid document-templates and process the data elements required in the corresponding section-templates and entry-templates from the standards adopted in § 170.205(a</w:t>
            </w:r>
            <w:proofErr w:type="gramStart"/>
            <w:r w:rsidRPr="00C9454F">
              <w:t>)(</w:t>
            </w:r>
            <w:proofErr w:type="gramEnd"/>
            <w:r w:rsidRPr="00C9454F">
              <w:t xml:space="preserve">3) and § 170.205(a)(4). </w:t>
            </w:r>
          </w:p>
          <w:p w:rsidR="00C9454F" w:rsidRDefault="00C9454F" w:rsidP="00C9454F">
            <w:pPr>
              <w:pStyle w:val="ListParagraph"/>
              <w:numPr>
                <w:ilvl w:val="0"/>
                <w:numId w:val="39"/>
              </w:numPr>
              <w:ind w:left="2412"/>
            </w:pPr>
            <w:r w:rsidRPr="00C9454F">
              <w:t xml:space="preserve">Correctly interpret empty sections and null combinations; and </w:t>
            </w:r>
          </w:p>
          <w:p w:rsidR="00C9454F" w:rsidRDefault="00C9454F" w:rsidP="00C9454F">
            <w:pPr>
              <w:pStyle w:val="ListParagraph"/>
              <w:numPr>
                <w:ilvl w:val="0"/>
                <w:numId w:val="39"/>
              </w:numPr>
              <w:ind w:left="2412"/>
            </w:pPr>
            <w:r w:rsidRPr="00C9454F">
              <w:lastRenderedPageBreak/>
              <w:t>Record errors encountered and allow a user through at least one of the following ways to: (</w:t>
            </w:r>
            <w:proofErr w:type="spellStart"/>
            <w:r w:rsidRPr="00C9454F">
              <w:t>i</w:t>
            </w:r>
            <w:proofErr w:type="spellEnd"/>
            <w:r w:rsidRPr="00C9454F">
              <w:t xml:space="preserve">) </w:t>
            </w:r>
            <w:proofErr w:type="gramStart"/>
            <w:r w:rsidRPr="00C9454F">
              <w:t>Be</w:t>
            </w:r>
            <w:proofErr w:type="gramEnd"/>
            <w:r w:rsidRPr="00C9454F">
              <w:t xml:space="preserve"> notified of the errors produced. (ii) Review the errors produced. </w:t>
            </w:r>
          </w:p>
          <w:p w:rsidR="00C9454F" w:rsidRDefault="00C9454F" w:rsidP="00C9454F">
            <w:pPr>
              <w:pStyle w:val="ListParagraph"/>
              <w:numPr>
                <w:ilvl w:val="0"/>
                <w:numId w:val="38"/>
              </w:numPr>
            </w:pPr>
            <w:r w:rsidRPr="00C9454F">
              <w:rPr>
                <w:b/>
              </w:rPr>
              <w:t xml:space="preserve">Display </w:t>
            </w:r>
            <w:r w:rsidRPr="00C9454F">
              <w:t>in human readable format the data included in transition of care/referral summaries received and formatted according to the standards specified in § 170.205(a</w:t>
            </w:r>
            <w:proofErr w:type="gramStart"/>
            <w:r w:rsidRPr="00C9454F">
              <w:t>)(</w:t>
            </w:r>
            <w:proofErr w:type="gramEnd"/>
            <w:r w:rsidRPr="00C9454F">
              <w:t xml:space="preserve">3) and § 170.205(a)(4). </w:t>
            </w:r>
          </w:p>
          <w:p w:rsidR="00C9454F" w:rsidRDefault="00C9454F" w:rsidP="00C9454F">
            <w:pPr>
              <w:pStyle w:val="ListParagraph"/>
              <w:numPr>
                <w:ilvl w:val="0"/>
                <w:numId w:val="38"/>
              </w:numPr>
            </w:pPr>
            <w:r w:rsidRPr="00C9454F">
              <w:rPr>
                <w:b/>
              </w:rPr>
              <w:t>Display section views</w:t>
            </w:r>
            <w:r w:rsidRPr="00C9454F">
              <w:t xml:space="preserve">. Allow for the individual display of each section (and the accompanying document header information) that is included in a transition of care/referral summary received and formatted in accordance with the standards adopted in § 170.205(a)(3) and § 170.205(a)(4) in a manner that enables the user to: </w:t>
            </w:r>
          </w:p>
          <w:p w:rsidR="00C9454F" w:rsidRDefault="00C9454F" w:rsidP="000E28C8">
            <w:pPr>
              <w:pStyle w:val="ListParagraph"/>
              <w:numPr>
                <w:ilvl w:val="1"/>
                <w:numId w:val="42"/>
              </w:numPr>
              <w:ind w:left="2412"/>
            </w:pPr>
            <w:r w:rsidRPr="00C9454F">
              <w:t xml:space="preserve">Directly display only the data within a particular section; </w:t>
            </w:r>
          </w:p>
          <w:p w:rsidR="00C9454F" w:rsidRDefault="00C9454F" w:rsidP="000E28C8">
            <w:pPr>
              <w:pStyle w:val="ListParagraph"/>
              <w:numPr>
                <w:ilvl w:val="1"/>
                <w:numId w:val="42"/>
              </w:numPr>
              <w:ind w:left="2412"/>
            </w:pPr>
            <w:r w:rsidRPr="00C9454F">
              <w:t xml:space="preserve">Set a preference for the display order of specific sections; and </w:t>
            </w:r>
          </w:p>
          <w:p w:rsidR="007C1E3F" w:rsidRPr="00D052DB" w:rsidRDefault="00C9454F" w:rsidP="00EB4BC2">
            <w:pPr>
              <w:pStyle w:val="ListParagraph"/>
              <w:numPr>
                <w:ilvl w:val="1"/>
                <w:numId w:val="42"/>
              </w:numPr>
              <w:ind w:left="2412"/>
            </w:pPr>
            <w:r w:rsidRPr="00C9454F">
              <w:t>Set the initial quantity of sections to be displayed.</w:t>
            </w:r>
          </w:p>
        </w:tc>
      </w:tr>
      <w:tr w:rsidR="009A1DB9" w:rsidTr="00E46DD4">
        <w:trPr>
          <w:trHeight w:val="432"/>
        </w:trPr>
        <w:tc>
          <w:tcPr>
            <w:tcW w:w="8730" w:type="dxa"/>
            <w:gridSpan w:val="2"/>
            <w:shd w:val="clear" w:color="auto" w:fill="DBE5F1" w:themeFill="accent1" w:themeFillTint="33"/>
          </w:tcPr>
          <w:p w:rsidR="009A1DB9" w:rsidRDefault="009A1DB9" w:rsidP="00E46DD4">
            <w:pPr>
              <w:rPr>
                <w:rFonts w:ascii="Leelawadee UI" w:hAnsi="Leelawadee UI" w:cs="Leelawadee UI"/>
                <w:b/>
              </w:rPr>
            </w:pPr>
            <w:r w:rsidRPr="00EF4DF3">
              <w:rPr>
                <w:rFonts w:ascii="Leelawadee UI" w:hAnsi="Leelawadee UI" w:cs="Leelawadee UI"/>
                <w:b/>
              </w:rPr>
              <w:lastRenderedPageBreak/>
              <w:t>Points to Remember:</w:t>
            </w:r>
          </w:p>
          <w:p w:rsidR="009A1DB9" w:rsidRDefault="00E841FF" w:rsidP="00E841FF">
            <w:pPr>
              <w:pStyle w:val="ListParagraph"/>
              <w:numPr>
                <w:ilvl w:val="0"/>
                <w:numId w:val="46"/>
              </w:numPr>
            </w:pPr>
            <w:r w:rsidRPr="00E841FF">
              <w:t xml:space="preserve">The use of the C-CDA CDA XSL style sheet will not be sufficient </w:t>
            </w:r>
            <w:r>
              <w:t>to meet the requirements of the “Display”</w:t>
            </w:r>
            <w:r w:rsidRPr="00E841FF">
              <w:t xml:space="preserve"> provision.</w:t>
            </w:r>
          </w:p>
          <w:p w:rsidR="00BB1360" w:rsidRPr="00D052DB" w:rsidRDefault="00BB1360" w:rsidP="00E841FF">
            <w:pPr>
              <w:pStyle w:val="ListParagraph"/>
              <w:numPr>
                <w:ilvl w:val="0"/>
                <w:numId w:val="46"/>
              </w:numPr>
            </w:pPr>
            <w:r>
              <w:t xml:space="preserve">See </w:t>
            </w:r>
            <w:hyperlink w:anchor="_Appendix_C:_CCDS" w:history="1">
              <w:r w:rsidRPr="00BB1360">
                <w:rPr>
                  <w:rStyle w:val="Hyperlink"/>
                </w:rPr>
                <w:t>Appendix C</w:t>
              </w:r>
            </w:hyperlink>
            <w:r>
              <w:t xml:space="preserve"> for CCDS Reference Table.</w:t>
            </w:r>
          </w:p>
        </w:tc>
      </w:tr>
    </w:tbl>
    <w:p w:rsidR="00677899" w:rsidRDefault="00677899" w:rsidP="009A1DB9"/>
    <w:p w:rsidR="00677899" w:rsidRDefault="00677899" w:rsidP="00677899">
      <w:r>
        <w:br w:type="page"/>
      </w:r>
    </w:p>
    <w:p w:rsidR="00677899" w:rsidRDefault="00677899" w:rsidP="00677899">
      <w:pPr>
        <w:pStyle w:val="Heading3"/>
        <w:rPr>
          <w:u w:val="single"/>
        </w:rPr>
      </w:pPr>
      <w:bookmarkStart w:id="6" w:name="_Test_Procedures"/>
      <w:bookmarkEnd w:id="6"/>
      <w:r w:rsidRPr="00207BB2">
        <w:rPr>
          <w:u w:val="single"/>
        </w:rPr>
        <w:lastRenderedPageBreak/>
        <w:t>Test Procedures</w:t>
      </w:r>
    </w:p>
    <w:p w:rsidR="00677899" w:rsidRDefault="00677899" w:rsidP="009A1DB9"/>
    <w:p w:rsidR="00902E85" w:rsidRPr="00902E85" w:rsidRDefault="00902E85" w:rsidP="009A1DB9">
      <w:pPr>
        <w:rPr>
          <w:b/>
        </w:rPr>
      </w:pPr>
      <w:r w:rsidRPr="00902E85">
        <w:rPr>
          <w:b/>
        </w:rPr>
        <w:t>1.1 CCDS Summary Record - Receive</w:t>
      </w:r>
    </w:p>
    <w:tbl>
      <w:tblPr>
        <w:tblStyle w:val="TableGrid"/>
        <w:tblW w:w="0" w:type="auto"/>
        <w:tblLook w:val="04A0" w:firstRow="1" w:lastRow="0" w:firstColumn="1" w:lastColumn="0" w:noHBand="0" w:noVBand="1"/>
      </w:tblPr>
      <w:tblGrid>
        <w:gridCol w:w="828"/>
        <w:gridCol w:w="7668"/>
      </w:tblGrid>
      <w:tr w:rsidR="009A1DB9" w:rsidTr="004F482B">
        <w:sdt>
          <w:sdtPr>
            <w:id w:val="1366638493"/>
            <w14:checkbox>
              <w14:checked w14:val="0"/>
              <w14:checkedState w14:val="2612" w14:font="Arial Unicode MS"/>
              <w14:uncheckedState w14:val="2610" w14:font="Arial Unicode MS"/>
            </w14:checkbox>
          </w:sdtPr>
          <w:sdtEndPr/>
          <w:sdtContent>
            <w:tc>
              <w:tcPr>
                <w:tcW w:w="828" w:type="dxa"/>
                <w:tcBorders>
                  <w:right w:val="single" w:sz="4" w:space="0" w:color="auto"/>
                </w:tcBorders>
                <w:vAlign w:val="center"/>
              </w:tcPr>
              <w:p w:rsidR="009A1DB9" w:rsidRDefault="009A1DB9" w:rsidP="00E46DD4">
                <w:pPr>
                  <w:spacing w:line="360" w:lineRule="auto"/>
                  <w:rPr>
                    <w:u w:val="single"/>
                  </w:rPr>
                </w:pPr>
                <w:r>
                  <w:rPr>
                    <w:rFonts w:ascii="MS Gothic" w:eastAsia="MS Gothic" w:hAnsi="MS Gothic" w:hint="eastAsia"/>
                  </w:rPr>
                  <w:t>☐</w:t>
                </w:r>
              </w:p>
            </w:tc>
          </w:sdtContent>
        </w:sdt>
        <w:tc>
          <w:tcPr>
            <w:tcW w:w="7668" w:type="dxa"/>
            <w:tcBorders>
              <w:left w:val="single" w:sz="4" w:space="0" w:color="auto"/>
            </w:tcBorders>
            <w:vAlign w:val="center"/>
          </w:tcPr>
          <w:p w:rsidR="004F482B" w:rsidRPr="00C15A82" w:rsidRDefault="00140D35" w:rsidP="00116153">
            <w:pPr>
              <w:spacing w:line="360" w:lineRule="auto"/>
            </w:pPr>
            <w:r>
              <w:t>Health IT developer</w:t>
            </w:r>
            <w:r w:rsidR="00CB7C63">
              <w:t xml:space="preserve"> </w:t>
            </w:r>
            <w:r w:rsidR="0045039F">
              <w:t xml:space="preserve">downloads test data files for the applicable setting </w:t>
            </w:r>
            <w:r w:rsidR="0045039F" w:rsidRPr="0045039F">
              <w:rPr>
                <w:b/>
              </w:rPr>
              <w:t>170.315_b5_ccds_*.</w:t>
            </w:r>
            <w:r w:rsidR="00116153">
              <w:rPr>
                <w:b/>
              </w:rPr>
              <w:t>xml</w:t>
            </w:r>
            <w:r w:rsidR="00116153" w:rsidRPr="00140D35">
              <w:rPr>
                <w:rFonts w:ascii="Leelawadee UI" w:hAnsi="Leelawadee UI" w:cs="Leelawadee UI"/>
              </w:rPr>
              <w:t xml:space="preserve"> </w:t>
            </w:r>
            <w:r w:rsidR="0045039F">
              <w:t>and imports</w:t>
            </w:r>
            <w:r w:rsidR="00CB7C63">
              <w:t xml:space="preserve"> into the HIT module.</w:t>
            </w:r>
            <w:r w:rsidR="0045039F">
              <w:t xml:space="preserve">  </w:t>
            </w:r>
          </w:p>
        </w:tc>
      </w:tr>
    </w:tbl>
    <w:p w:rsidR="0045039F" w:rsidRDefault="0045039F" w:rsidP="009A1DB9">
      <w:pPr>
        <w:spacing w:line="360" w:lineRule="auto"/>
        <w:rPr>
          <w:color w:val="A6A6A6" w:themeColor="background1" w:themeShade="A6"/>
        </w:rPr>
      </w:pPr>
    </w:p>
    <w:p w:rsidR="009A1DB9" w:rsidRDefault="009A1DB9" w:rsidP="009A1DB9">
      <w:pPr>
        <w:spacing w:line="360" w:lineRule="auto"/>
        <w:rPr>
          <w:color w:val="A6A6A6" w:themeColor="background1" w:themeShade="A6"/>
        </w:rPr>
      </w:pPr>
      <w:r>
        <w:rPr>
          <w:color w:val="A6A6A6" w:themeColor="background1" w:themeShade="A6"/>
        </w:rPr>
        <w:t>&lt;</w:t>
      </w:r>
      <w:r w:rsidR="004F482B">
        <w:rPr>
          <w:color w:val="A6A6A6" w:themeColor="background1" w:themeShade="A6"/>
        </w:rPr>
        <w:t xml:space="preserve">INSERT </w:t>
      </w:r>
      <w:r w:rsidR="00F367BF">
        <w:rPr>
          <w:color w:val="A6A6A6" w:themeColor="background1" w:themeShade="A6"/>
        </w:rPr>
        <w:t>LINK TO CCDA TEST FILES</w:t>
      </w:r>
      <w:r w:rsidR="00F367BF" w:rsidRPr="003D768F">
        <w:rPr>
          <w:color w:val="A6A6A6" w:themeColor="background1" w:themeShade="A6"/>
        </w:rPr>
        <w:t xml:space="preserve"> </w:t>
      </w:r>
      <w:r w:rsidRPr="003D768F">
        <w:rPr>
          <w:color w:val="A6A6A6" w:themeColor="background1" w:themeShade="A6"/>
        </w:rPr>
        <w:t>&gt;</w:t>
      </w:r>
    </w:p>
    <w:p w:rsidR="00054F4E" w:rsidRDefault="00054F4E" w:rsidP="009A1DB9">
      <w:pPr>
        <w:spacing w:line="360" w:lineRule="auto"/>
        <w:rPr>
          <w:color w:val="A6A6A6" w:themeColor="background1" w:themeShade="A6"/>
        </w:rPr>
      </w:pPr>
    </w:p>
    <w:p w:rsidR="004F482B" w:rsidRPr="006A16E9" w:rsidRDefault="004F482B" w:rsidP="004F482B"/>
    <w:tbl>
      <w:tblPr>
        <w:tblStyle w:val="TableGrid"/>
        <w:tblW w:w="0" w:type="auto"/>
        <w:tblLook w:val="04A0" w:firstRow="1" w:lastRow="0" w:firstColumn="1" w:lastColumn="0" w:noHBand="0" w:noVBand="1"/>
      </w:tblPr>
      <w:tblGrid>
        <w:gridCol w:w="828"/>
        <w:gridCol w:w="7668"/>
      </w:tblGrid>
      <w:tr w:rsidR="004F482B" w:rsidTr="004F482B">
        <w:sdt>
          <w:sdtPr>
            <w:id w:val="-1925718788"/>
            <w14:checkbox>
              <w14:checked w14:val="0"/>
              <w14:checkedState w14:val="2612" w14:font="Arial Unicode MS"/>
              <w14:uncheckedState w14:val="2610" w14:font="Arial Unicode MS"/>
            </w14:checkbox>
          </w:sdtPr>
          <w:sdtEndPr/>
          <w:sdtContent>
            <w:tc>
              <w:tcPr>
                <w:tcW w:w="828" w:type="dxa"/>
                <w:tcBorders>
                  <w:right w:val="single" w:sz="4" w:space="0" w:color="auto"/>
                </w:tcBorders>
              </w:tcPr>
              <w:p w:rsidR="004F482B" w:rsidRDefault="004F482B" w:rsidP="00E46DD4">
                <w:pPr>
                  <w:spacing w:line="360" w:lineRule="auto"/>
                  <w:rPr>
                    <w:u w:val="single"/>
                  </w:rPr>
                </w:pPr>
                <w:r>
                  <w:rPr>
                    <w:rFonts w:ascii="MS Gothic" w:eastAsia="MS Gothic" w:hAnsi="MS Gothic" w:hint="eastAsia"/>
                  </w:rPr>
                  <w:t>☐</w:t>
                </w:r>
              </w:p>
            </w:tc>
          </w:sdtContent>
        </w:sdt>
        <w:tc>
          <w:tcPr>
            <w:tcW w:w="7668" w:type="dxa"/>
            <w:tcBorders>
              <w:left w:val="single" w:sz="4" w:space="0" w:color="auto"/>
            </w:tcBorders>
            <w:vAlign w:val="center"/>
          </w:tcPr>
          <w:p w:rsidR="004F482B" w:rsidRDefault="0045039F" w:rsidP="004F482B">
            <w:pPr>
              <w:spacing w:line="360" w:lineRule="auto"/>
            </w:pPr>
            <w:r>
              <w:t>Using health IT</w:t>
            </w:r>
            <w:r w:rsidR="004F482B">
              <w:t xml:space="preserve"> module functionality</w:t>
            </w:r>
            <w:r>
              <w:t>, user s</w:t>
            </w:r>
            <w:r w:rsidR="00F367BF">
              <w:t xml:space="preserve">uccessfully </w:t>
            </w:r>
            <w:r w:rsidR="00CB7C63">
              <w:t>receive</w:t>
            </w:r>
            <w:r>
              <w:t>s</w:t>
            </w:r>
            <w:r w:rsidR="00CB7C63">
              <w:t xml:space="preserve"> all</w:t>
            </w:r>
            <w:r w:rsidR="004F482B">
              <w:t xml:space="preserve"> CCDA document templates for each sample test case for the appropriate health care setting</w:t>
            </w:r>
            <w:r w:rsidR="00AA271B">
              <w:t xml:space="preserve"> and displays in human readable format</w:t>
            </w:r>
            <w:r w:rsidR="004F482B">
              <w:t>:</w:t>
            </w:r>
          </w:p>
          <w:p w:rsidR="004F482B" w:rsidRPr="0045039F" w:rsidRDefault="0086758F" w:rsidP="0045039F">
            <w:pPr>
              <w:pStyle w:val="ListParagraph"/>
              <w:numPr>
                <w:ilvl w:val="0"/>
                <w:numId w:val="30"/>
              </w:numPr>
              <w:spacing w:line="360" w:lineRule="auto"/>
              <w:rPr>
                <w:b/>
              </w:rPr>
            </w:pPr>
            <w:r>
              <w:rPr>
                <w:b/>
              </w:rPr>
              <w:t>Continuity of Care Document;</w:t>
            </w:r>
          </w:p>
          <w:p w:rsidR="004F482B" w:rsidRPr="0045039F" w:rsidRDefault="0086758F" w:rsidP="0045039F">
            <w:pPr>
              <w:pStyle w:val="ListParagraph"/>
              <w:numPr>
                <w:ilvl w:val="0"/>
                <w:numId w:val="30"/>
              </w:numPr>
              <w:spacing w:line="360" w:lineRule="auto"/>
              <w:rPr>
                <w:b/>
              </w:rPr>
            </w:pPr>
            <w:r>
              <w:rPr>
                <w:b/>
              </w:rPr>
              <w:t>Referral Note; and</w:t>
            </w:r>
          </w:p>
          <w:p w:rsidR="004F482B" w:rsidRPr="00C15A82" w:rsidRDefault="0086758F" w:rsidP="0086758F">
            <w:pPr>
              <w:pStyle w:val="ListParagraph"/>
              <w:numPr>
                <w:ilvl w:val="0"/>
                <w:numId w:val="30"/>
              </w:numPr>
              <w:spacing w:line="360" w:lineRule="auto"/>
            </w:pPr>
            <w:r w:rsidRPr="0086758F">
              <w:rPr>
                <w:i/>
              </w:rPr>
              <w:t>Inpatient setting only:</w:t>
            </w:r>
            <w:r>
              <w:rPr>
                <w:b/>
              </w:rPr>
              <w:t xml:space="preserve"> </w:t>
            </w:r>
            <w:r w:rsidR="004F482B" w:rsidRPr="0045039F">
              <w:rPr>
                <w:b/>
              </w:rPr>
              <w:t>Discharge Summa</w:t>
            </w:r>
            <w:r>
              <w:rPr>
                <w:b/>
              </w:rPr>
              <w:t>ry</w:t>
            </w:r>
          </w:p>
        </w:tc>
      </w:tr>
    </w:tbl>
    <w:p w:rsidR="0045039F" w:rsidRDefault="0045039F" w:rsidP="004F482B">
      <w:pPr>
        <w:spacing w:line="360" w:lineRule="auto"/>
        <w:rPr>
          <w:color w:val="A6A6A6" w:themeColor="background1" w:themeShade="A6"/>
        </w:rPr>
      </w:pPr>
    </w:p>
    <w:p w:rsidR="004F482B" w:rsidRDefault="004F482B" w:rsidP="004F482B">
      <w:pPr>
        <w:spacing w:line="360" w:lineRule="auto"/>
        <w:rPr>
          <w:color w:val="A6A6A6" w:themeColor="background1" w:themeShade="A6"/>
        </w:rPr>
      </w:pPr>
      <w:r>
        <w:rPr>
          <w:color w:val="A6A6A6" w:themeColor="background1" w:themeShade="A6"/>
        </w:rPr>
        <w:t xml:space="preserve">&lt;INSERT SCREEN SHOT – </w:t>
      </w:r>
      <w:r w:rsidR="00CB7C63">
        <w:rPr>
          <w:color w:val="A6A6A6" w:themeColor="background1" w:themeShade="A6"/>
        </w:rPr>
        <w:t>Receiving Continuity of Care</w:t>
      </w:r>
      <w:r w:rsidRPr="003D768F">
        <w:rPr>
          <w:color w:val="A6A6A6" w:themeColor="background1" w:themeShade="A6"/>
        </w:rPr>
        <w:t>&gt;</w:t>
      </w:r>
    </w:p>
    <w:p w:rsidR="00CB7C63" w:rsidRDefault="00CB7C63" w:rsidP="004F482B">
      <w:pPr>
        <w:spacing w:line="360" w:lineRule="auto"/>
        <w:rPr>
          <w:color w:val="A6A6A6" w:themeColor="background1" w:themeShade="A6"/>
        </w:rPr>
      </w:pPr>
      <w:r>
        <w:rPr>
          <w:color w:val="A6A6A6" w:themeColor="background1" w:themeShade="A6"/>
        </w:rPr>
        <w:t>&lt;INSERT SCREEN SHOT – Receiving Referral Note</w:t>
      </w:r>
      <w:r w:rsidRPr="003D768F">
        <w:rPr>
          <w:color w:val="A6A6A6" w:themeColor="background1" w:themeShade="A6"/>
        </w:rPr>
        <w:t>&gt;</w:t>
      </w:r>
    </w:p>
    <w:p w:rsidR="00CB7C63" w:rsidRDefault="00CB7C63" w:rsidP="00CB7C63">
      <w:pPr>
        <w:spacing w:line="360" w:lineRule="auto"/>
        <w:rPr>
          <w:color w:val="A6A6A6" w:themeColor="background1" w:themeShade="A6"/>
        </w:rPr>
      </w:pPr>
      <w:r>
        <w:rPr>
          <w:color w:val="A6A6A6" w:themeColor="background1" w:themeShade="A6"/>
        </w:rPr>
        <w:t>&lt;INSERT SCREEN SHOT – Receiving Discharge Summary</w:t>
      </w:r>
      <w:r w:rsidRPr="003D768F">
        <w:rPr>
          <w:color w:val="A6A6A6" w:themeColor="background1" w:themeShade="A6"/>
        </w:rPr>
        <w:t>&gt;</w:t>
      </w:r>
    </w:p>
    <w:p w:rsidR="00CB4E1B" w:rsidRDefault="00CB4E1B" w:rsidP="00CB7C63">
      <w:pPr>
        <w:spacing w:line="360" w:lineRule="auto"/>
        <w:rPr>
          <w:color w:val="A6A6A6" w:themeColor="background1" w:themeShade="A6"/>
        </w:rPr>
      </w:pPr>
    </w:p>
    <w:p w:rsidR="00CB4E1B" w:rsidRDefault="00CB4E1B">
      <w:pPr>
        <w:rPr>
          <w:b/>
        </w:rPr>
      </w:pPr>
      <w:r>
        <w:rPr>
          <w:b/>
        </w:rPr>
        <w:br w:type="page"/>
      </w:r>
    </w:p>
    <w:p w:rsidR="00CB4E1B" w:rsidRDefault="005D543B" w:rsidP="00CB4E1B">
      <w:pPr>
        <w:rPr>
          <w:b/>
        </w:rPr>
      </w:pPr>
      <w:r>
        <w:rPr>
          <w:b/>
        </w:rPr>
        <w:lastRenderedPageBreak/>
        <w:t xml:space="preserve">1.2 </w:t>
      </w:r>
      <w:r w:rsidR="00CB4E1B">
        <w:rPr>
          <w:b/>
        </w:rPr>
        <w:t>Validate and Display</w:t>
      </w:r>
    </w:p>
    <w:tbl>
      <w:tblPr>
        <w:tblStyle w:val="TableGrid"/>
        <w:tblW w:w="0" w:type="auto"/>
        <w:tblLook w:val="04A0" w:firstRow="1" w:lastRow="0" w:firstColumn="1" w:lastColumn="0" w:noHBand="0" w:noVBand="1"/>
      </w:tblPr>
      <w:tblGrid>
        <w:gridCol w:w="828"/>
        <w:gridCol w:w="7668"/>
      </w:tblGrid>
      <w:tr w:rsidR="001563F5" w:rsidRPr="007A2A58" w:rsidTr="0045039F">
        <w:tc>
          <w:tcPr>
            <w:tcW w:w="828" w:type="dxa"/>
            <w:tcBorders>
              <w:bottom w:val="single" w:sz="4" w:space="0" w:color="auto"/>
              <w:right w:val="single" w:sz="4" w:space="0" w:color="auto"/>
            </w:tcBorders>
          </w:tcPr>
          <w:p w:rsidR="001563F5" w:rsidRDefault="001563F5" w:rsidP="000C6F74">
            <w:pPr>
              <w:spacing w:line="360" w:lineRule="auto"/>
              <w:rPr>
                <w:u w:val="single"/>
              </w:rPr>
            </w:pPr>
          </w:p>
          <w:p w:rsidR="0045039F" w:rsidRDefault="0045039F" w:rsidP="000C6F74">
            <w:pPr>
              <w:spacing w:line="360" w:lineRule="auto"/>
              <w:rPr>
                <w:u w:val="single"/>
              </w:rPr>
            </w:pPr>
          </w:p>
          <w:p w:rsidR="0045039F" w:rsidRDefault="0045039F" w:rsidP="000C6F74">
            <w:pPr>
              <w:spacing w:line="360" w:lineRule="auto"/>
              <w:rPr>
                <w:u w:val="single"/>
              </w:rPr>
            </w:pPr>
          </w:p>
          <w:p w:rsidR="0045039F" w:rsidRDefault="0045039F" w:rsidP="000C6F74">
            <w:pPr>
              <w:spacing w:line="360" w:lineRule="auto"/>
              <w:rPr>
                <w:u w:val="single"/>
              </w:rPr>
            </w:pPr>
          </w:p>
          <w:sdt>
            <w:sdtPr>
              <w:id w:val="2107775098"/>
              <w14:checkbox>
                <w14:checked w14:val="0"/>
                <w14:checkedState w14:val="2612" w14:font="Arial Unicode MS"/>
                <w14:uncheckedState w14:val="2610" w14:font="Arial Unicode MS"/>
              </w14:checkbox>
            </w:sdtPr>
            <w:sdtEndPr/>
            <w:sdtContent>
              <w:p w:rsidR="0045039F" w:rsidRDefault="0045039F" w:rsidP="0045039F">
                <w:pPr>
                  <w:spacing w:line="360" w:lineRule="auto"/>
                </w:pPr>
                <w:r w:rsidRPr="007A2A58">
                  <w:rPr>
                    <w:rFonts w:ascii="MS Gothic" w:eastAsia="MS Gothic" w:hAnsi="MS Gothic" w:hint="eastAsia"/>
                  </w:rPr>
                  <w:t>☐</w:t>
                </w:r>
              </w:p>
            </w:sdtContent>
          </w:sdt>
          <w:p w:rsidR="0045039F" w:rsidRPr="007A2A58" w:rsidRDefault="0045039F" w:rsidP="000C6F74">
            <w:pPr>
              <w:spacing w:line="360" w:lineRule="auto"/>
              <w:rPr>
                <w:u w:val="single"/>
              </w:rPr>
            </w:pPr>
          </w:p>
        </w:tc>
        <w:tc>
          <w:tcPr>
            <w:tcW w:w="7668" w:type="dxa"/>
            <w:tcBorders>
              <w:left w:val="single" w:sz="4" w:space="0" w:color="auto"/>
              <w:bottom w:val="single" w:sz="4" w:space="0" w:color="auto"/>
            </w:tcBorders>
            <w:vAlign w:val="center"/>
          </w:tcPr>
          <w:p w:rsidR="001563F5" w:rsidRDefault="00054F4E" w:rsidP="00412FC0">
            <w:pPr>
              <w:spacing w:line="360" w:lineRule="auto"/>
              <w:rPr>
                <w:i/>
              </w:rPr>
            </w:pPr>
            <w:r>
              <w:t>Pr</w:t>
            </w:r>
            <w:r w:rsidR="004B3684">
              <w:t xml:space="preserve">octor </w:t>
            </w:r>
            <w:r w:rsidR="00412FC0">
              <w:t>visual</w:t>
            </w:r>
            <w:r w:rsidR="0045039F">
              <w:t>ly inspects</w:t>
            </w:r>
            <w:r w:rsidR="008E0754">
              <w:t xml:space="preserve"> </w:t>
            </w:r>
            <w:r>
              <w:t>each C-CDA document is</w:t>
            </w:r>
            <w:r w:rsidR="00D110D5">
              <w:t xml:space="preserve"> </w:t>
            </w:r>
            <w:r w:rsidR="00BF58BB" w:rsidRPr="00BF58BB">
              <w:rPr>
                <w:i/>
              </w:rPr>
              <w:t>parsed</w:t>
            </w:r>
            <w:r w:rsidR="001663F5">
              <w:rPr>
                <w:i/>
              </w:rPr>
              <w:t xml:space="preserve"> and</w:t>
            </w:r>
            <w:r w:rsidR="00BF58BB" w:rsidRPr="00BF58BB">
              <w:rPr>
                <w:i/>
              </w:rPr>
              <w:t xml:space="preserve"> validated</w:t>
            </w:r>
            <w:r w:rsidR="001663F5">
              <w:rPr>
                <w:i/>
              </w:rPr>
              <w:t xml:space="preserve">.  </w:t>
            </w:r>
            <w:r w:rsidR="001663F5" w:rsidRPr="001663F5">
              <w:t>For those successfully validated, verify</w:t>
            </w:r>
            <w:r w:rsidR="001663F5">
              <w:rPr>
                <w:i/>
              </w:rPr>
              <w:t xml:space="preserve"> </w:t>
            </w:r>
            <w:r w:rsidR="001663F5" w:rsidRPr="001663F5">
              <w:t>each</w:t>
            </w:r>
            <w:r w:rsidR="001663F5">
              <w:rPr>
                <w:i/>
              </w:rPr>
              <w:t xml:space="preserve"> displays</w:t>
            </w:r>
            <w:r w:rsidR="00AA271B">
              <w:t xml:space="preserve"> in human readable, non-coded format of required standards and vocabulary codes </w:t>
            </w:r>
            <w:r w:rsidR="002A3C18">
              <w:t>are</w:t>
            </w:r>
            <w:r w:rsidR="001663F5">
              <w:t xml:space="preserve"> accurate and without omission </w:t>
            </w:r>
            <w:r w:rsidR="00847B90" w:rsidRPr="00847B90">
              <w:rPr>
                <w:i/>
              </w:rPr>
              <w:t xml:space="preserve">(see </w:t>
            </w:r>
            <w:hyperlink w:anchor="_Appendix_C:_CCDS" w:history="1">
              <w:r w:rsidR="008E0754" w:rsidRPr="00432C25">
                <w:rPr>
                  <w:rStyle w:val="Hyperlink"/>
                  <w:i/>
                </w:rPr>
                <w:t>Appendix C</w:t>
              </w:r>
            </w:hyperlink>
            <w:r w:rsidR="008E0754">
              <w:rPr>
                <w:i/>
              </w:rPr>
              <w:t xml:space="preserve"> </w:t>
            </w:r>
            <w:r w:rsidR="00432C25">
              <w:rPr>
                <w:i/>
              </w:rPr>
              <w:t xml:space="preserve"> </w:t>
            </w:r>
            <w:r w:rsidR="008E0754">
              <w:rPr>
                <w:i/>
              </w:rPr>
              <w:t xml:space="preserve">for </w:t>
            </w:r>
            <w:r w:rsidR="00847B90">
              <w:rPr>
                <w:i/>
              </w:rPr>
              <w:t>“</w:t>
            </w:r>
            <w:r w:rsidR="00847B90" w:rsidRPr="00847B90">
              <w:rPr>
                <w:i/>
              </w:rPr>
              <w:t>CCDS Reference Table</w:t>
            </w:r>
            <w:r w:rsidR="00847B90">
              <w:rPr>
                <w:i/>
              </w:rPr>
              <w:t>”</w:t>
            </w:r>
            <w:r w:rsidR="00847B90" w:rsidRPr="00847B90">
              <w:rPr>
                <w:i/>
              </w:rPr>
              <w:t>)</w:t>
            </w:r>
            <w:r w:rsidR="0079143F" w:rsidRPr="00847B90">
              <w:rPr>
                <w:i/>
              </w:rPr>
              <w:t>:</w:t>
            </w:r>
          </w:p>
          <w:p w:rsidR="0079143F" w:rsidRPr="0045039F" w:rsidRDefault="0079143F" w:rsidP="0045039F">
            <w:pPr>
              <w:pStyle w:val="ListParagraph"/>
              <w:numPr>
                <w:ilvl w:val="0"/>
                <w:numId w:val="34"/>
              </w:numPr>
              <w:spacing w:line="360" w:lineRule="auto"/>
              <w:rPr>
                <w:b/>
              </w:rPr>
            </w:pPr>
            <w:r w:rsidRPr="0045039F">
              <w:rPr>
                <w:b/>
              </w:rPr>
              <w:t>The Common Clinical Data Set</w:t>
            </w:r>
            <w:r w:rsidR="002024BE">
              <w:rPr>
                <w:b/>
              </w:rPr>
              <w:t>;</w:t>
            </w:r>
          </w:p>
          <w:p w:rsidR="0079143F" w:rsidRPr="0045039F" w:rsidRDefault="0079143F" w:rsidP="0045039F">
            <w:pPr>
              <w:pStyle w:val="ListParagraph"/>
              <w:numPr>
                <w:ilvl w:val="0"/>
                <w:numId w:val="34"/>
              </w:numPr>
              <w:spacing w:line="360" w:lineRule="auto"/>
              <w:rPr>
                <w:b/>
              </w:rPr>
            </w:pPr>
            <w:r w:rsidRPr="0045039F">
              <w:rPr>
                <w:b/>
              </w:rPr>
              <w:t>Encounter Diagnosis</w:t>
            </w:r>
            <w:r w:rsidR="002024BE">
              <w:rPr>
                <w:b/>
              </w:rPr>
              <w:t>;</w:t>
            </w:r>
          </w:p>
          <w:p w:rsidR="0079143F" w:rsidRPr="0045039F" w:rsidRDefault="0079143F" w:rsidP="0045039F">
            <w:pPr>
              <w:pStyle w:val="ListParagraph"/>
              <w:numPr>
                <w:ilvl w:val="0"/>
                <w:numId w:val="34"/>
              </w:numPr>
              <w:spacing w:line="360" w:lineRule="auto"/>
              <w:rPr>
                <w:b/>
              </w:rPr>
            </w:pPr>
            <w:r w:rsidRPr="0045039F">
              <w:rPr>
                <w:b/>
              </w:rPr>
              <w:t>Cognitive Status</w:t>
            </w:r>
            <w:r w:rsidR="002024BE">
              <w:rPr>
                <w:b/>
              </w:rPr>
              <w:t>;</w:t>
            </w:r>
          </w:p>
          <w:p w:rsidR="0079143F" w:rsidRPr="0045039F" w:rsidRDefault="0079143F" w:rsidP="0045039F">
            <w:pPr>
              <w:pStyle w:val="ListParagraph"/>
              <w:numPr>
                <w:ilvl w:val="0"/>
                <w:numId w:val="34"/>
              </w:numPr>
              <w:spacing w:line="360" w:lineRule="auto"/>
              <w:rPr>
                <w:b/>
              </w:rPr>
            </w:pPr>
            <w:r w:rsidRPr="0045039F">
              <w:rPr>
                <w:b/>
              </w:rPr>
              <w:t>Functional Status</w:t>
            </w:r>
            <w:r w:rsidR="002024BE">
              <w:rPr>
                <w:b/>
              </w:rPr>
              <w:t>;</w:t>
            </w:r>
          </w:p>
          <w:p w:rsidR="0079143F" w:rsidRPr="0045039F" w:rsidRDefault="0045039F" w:rsidP="0045039F">
            <w:pPr>
              <w:pStyle w:val="ListParagraph"/>
              <w:numPr>
                <w:ilvl w:val="0"/>
                <w:numId w:val="34"/>
              </w:numPr>
              <w:spacing w:line="360" w:lineRule="auto"/>
              <w:rPr>
                <w:b/>
              </w:rPr>
            </w:pPr>
            <w:r w:rsidRPr="0045039F">
              <w:rPr>
                <w:i/>
              </w:rPr>
              <w:t>Ambulatory setting only</w:t>
            </w:r>
            <w:r>
              <w:rPr>
                <w:b/>
              </w:rPr>
              <w:t xml:space="preserve">: </w:t>
            </w:r>
            <w:r w:rsidR="0079143F" w:rsidRPr="0045039F">
              <w:rPr>
                <w:b/>
              </w:rPr>
              <w:t>Reason for referral, referring provider name and contact info</w:t>
            </w:r>
            <w:r w:rsidR="002024BE">
              <w:rPr>
                <w:b/>
              </w:rPr>
              <w:t>; and</w:t>
            </w:r>
            <w:r w:rsidR="0079143F" w:rsidRPr="0045039F">
              <w:rPr>
                <w:b/>
              </w:rPr>
              <w:t xml:space="preserve"> </w:t>
            </w:r>
          </w:p>
          <w:p w:rsidR="0079143F" w:rsidRPr="007A2A58" w:rsidRDefault="0045039F" w:rsidP="006574DA">
            <w:pPr>
              <w:pStyle w:val="ListParagraph"/>
              <w:numPr>
                <w:ilvl w:val="0"/>
                <w:numId w:val="34"/>
              </w:numPr>
              <w:spacing w:line="360" w:lineRule="auto"/>
            </w:pPr>
            <w:r w:rsidRPr="0045039F">
              <w:rPr>
                <w:i/>
              </w:rPr>
              <w:t>Inpatient setting only</w:t>
            </w:r>
            <w:r>
              <w:rPr>
                <w:b/>
              </w:rPr>
              <w:t xml:space="preserve">: </w:t>
            </w:r>
            <w:r w:rsidR="0079143F" w:rsidRPr="0045039F">
              <w:rPr>
                <w:b/>
              </w:rPr>
              <w:t>Discharge Instructions</w:t>
            </w:r>
          </w:p>
        </w:tc>
      </w:tr>
    </w:tbl>
    <w:p w:rsidR="00BB36BF" w:rsidRPr="001563F5" w:rsidRDefault="00BB36BF" w:rsidP="00BB36BF">
      <w:pPr>
        <w:spacing w:line="360" w:lineRule="auto"/>
        <w:rPr>
          <w:color w:val="000000" w:themeColor="text1"/>
          <w:highlight w:val="yellow"/>
        </w:rPr>
      </w:pPr>
    </w:p>
    <w:p w:rsidR="007A2A58" w:rsidRDefault="009B02A8" w:rsidP="009B02A8">
      <w:pPr>
        <w:spacing w:line="360" w:lineRule="auto"/>
        <w:rPr>
          <w:color w:val="A6A6A6" w:themeColor="background1" w:themeShade="A6"/>
        </w:rPr>
      </w:pPr>
      <w:r>
        <w:rPr>
          <w:color w:val="A6A6A6" w:themeColor="background1" w:themeShade="A6"/>
        </w:rPr>
        <w:t xml:space="preserve">&lt;INSERT </w:t>
      </w:r>
      <w:r w:rsidR="00FB7C04">
        <w:rPr>
          <w:color w:val="A6A6A6" w:themeColor="background1" w:themeShade="A6"/>
        </w:rPr>
        <w:t>SCREEN SHOTS</w:t>
      </w:r>
      <w:r w:rsidRPr="003D768F">
        <w:rPr>
          <w:color w:val="A6A6A6" w:themeColor="background1" w:themeShade="A6"/>
        </w:rPr>
        <w:t>&gt;</w:t>
      </w:r>
    </w:p>
    <w:p w:rsidR="000E7F57" w:rsidRDefault="000E7F57">
      <w:pPr>
        <w:rPr>
          <w:color w:val="A6A6A6" w:themeColor="background1" w:themeShade="A6"/>
        </w:rPr>
      </w:pPr>
    </w:p>
    <w:p w:rsidR="00BB1360" w:rsidRDefault="00BB1360">
      <w:pPr>
        <w:rPr>
          <w:color w:val="A6A6A6" w:themeColor="background1" w:themeShade="A6"/>
        </w:rPr>
      </w:pPr>
    </w:p>
    <w:p w:rsidR="006E3C6C" w:rsidRPr="0057746E" w:rsidRDefault="00CB4E1B" w:rsidP="006E3C6C">
      <w:pPr>
        <w:rPr>
          <w:b/>
        </w:rPr>
      </w:pPr>
      <w:bookmarkStart w:id="7" w:name="_Toc432066410"/>
      <w:r>
        <w:rPr>
          <w:b/>
        </w:rPr>
        <w:t>1.3</w:t>
      </w:r>
      <w:r w:rsidR="0057746E" w:rsidRPr="0057746E">
        <w:rPr>
          <w:b/>
        </w:rPr>
        <w:t xml:space="preserve"> Display Section Views</w:t>
      </w:r>
    </w:p>
    <w:tbl>
      <w:tblPr>
        <w:tblStyle w:val="TableGrid"/>
        <w:tblW w:w="0" w:type="auto"/>
        <w:tblLook w:val="04A0" w:firstRow="1" w:lastRow="0" w:firstColumn="1" w:lastColumn="0" w:noHBand="0" w:noVBand="1"/>
      </w:tblPr>
      <w:tblGrid>
        <w:gridCol w:w="828"/>
        <w:gridCol w:w="7668"/>
      </w:tblGrid>
      <w:tr w:rsidR="006E3C6C" w:rsidTr="004D6372">
        <w:sdt>
          <w:sdtPr>
            <w:id w:val="2118718156"/>
            <w14:checkbox>
              <w14:checked w14:val="0"/>
              <w14:checkedState w14:val="2612" w14:font="Arial Unicode MS"/>
              <w14:uncheckedState w14:val="2610" w14:font="Arial Unicode MS"/>
            </w14:checkbox>
          </w:sdtPr>
          <w:sdtEndPr/>
          <w:sdtContent>
            <w:tc>
              <w:tcPr>
                <w:tcW w:w="828" w:type="dxa"/>
                <w:tcBorders>
                  <w:right w:val="single" w:sz="4" w:space="0" w:color="auto"/>
                </w:tcBorders>
              </w:tcPr>
              <w:p w:rsidR="006E3C6C" w:rsidRDefault="006E3C6C" w:rsidP="004D6372">
                <w:pPr>
                  <w:spacing w:line="360" w:lineRule="auto"/>
                  <w:rPr>
                    <w:u w:val="single"/>
                  </w:rPr>
                </w:pPr>
                <w:r>
                  <w:rPr>
                    <w:rFonts w:ascii="MS Gothic" w:eastAsia="MS Gothic" w:hAnsi="MS Gothic" w:hint="eastAsia"/>
                  </w:rPr>
                  <w:t>☐</w:t>
                </w:r>
              </w:p>
            </w:tc>
          </w:sdtContent>
        </w:sdt>
        <w:tc>
          <w:tcPr>
            <w:tcW w:w="7668" w:type="dxa"/>
            <w:tcBorders>
              <w:left w:val="single" w:sz="4" w:space="0" w:color="auto"/>
            </w:tcBorders>
            <w:vAlign w:val="center"/>
          </w:tcPr>
          <w:p w:rsidR="006E3C6C" w:rsidRDefault="003B1ACB" w:rsidP="004D6372">
            <w:pPr>
              <w:spacing w:line="360" w:lineRule="auto"/>
            </w:pPr>
            <w:r>
              <w:t>Using health IT</w:t>
            </w:r>
            <w:r w:rsidR="006E3C6C">
              <w:t xml:space="preserve"> module functionality</w:t>
            </w:r>
            <w:r>
              <w:t>, user</w:t>
            </w:r>
            <w:r w:rsidR="006E3C6C">
              <w:t xml:space="preserve"> </w:t>
            </w:r>
            <w:r w:rsidR="000E7F57">
              <w:t xml:space="preserve">can select </w:t>
            </w:r>
            <w:r w:rsidR="00F84F05">
              <w:t>individual sections</w:t>
            </w:r>
            <w:r w:rsidR="000E7F57">
              <w:t xml:space="preserve"> display</w:t>
            </w:r>
            <w:r w:rsidR="00F84F05">
              <w:t xml:space="preserve"> in</w:t>
            </w:r>
            <w:r w:rsidR="000E7F57">
              <w:t xml:space="preserve"> </w:t>
            </w:r>
            <w:r w:rsidR="006E3C6C">
              <w:t>human readable format</w:t>
            </w:r>
            <w:r w:rsidR="00F84F05">
              <w:t xml:space="preserve"> for all document types</w:t>
            </w:r>
            <w:r w:rsidR="006E3C6C">
              <w:t>:</w:t>
            </w:r>
          </w:p>
          <w:p w:rsidR="006E3C6C" w:rsidRPr="003B1ACB" w:rsidRDefault="006E3C6C" w:rsidP="003B1ACB">
            <w:pPr>
              <w:pStyle w:val="ListParagraph"/>
              <w:numPr>
                <w:ilvl w:val="0"/>
                <w:numId w:val="35"/>
              </w:numPr>
              <w:spacing w:line="360" w:lineRule="auto"/>
              <w:rPr>
                <w:b/>
              </w:rPr>
            </w:pPr>
            <w:r w:rsidRPr="003B1ACB">
              <w:rPr>
                <w:b/>
              </w:rPr>
              <w:t xml:space="preserve">Continuity of Care Document </w:t>
            </w:r>
          </w:p>
          <w:p w:rsidR="006E3C6C" w:rsidRPr="003B1ACB" w:rsidRDefault="003B1ACB" w:rsidP="003B1ACB">
            <w:pPr>
              <w:pStyle w:val="ListParagraph"/>
              <w:numPr>
                <w:ilvl w:val="0"/>
                <w:numId w:val="35"/>
              </w:numPr>
              <w:spacing w:line="360" w:lineRule="auto"/>
              <w:rPr>
                <w:b/>
              </w:rPr>
            </w:pPr>
            <w:r>
              <w:rPr>
                <w:b/>
              </w:rPr>
              <w:t xml:space="preserve">Referral Note </w:t>
            </w:r>
          </w:p>
          <w:p w:rsidR="006E3C6C" w:rsidRPr="00C15A82" w:rsidRDefault="003B1ACB" w:rsidP="003B1ACB">
            <w:pPr>
              <w:pStyle w:val="ListParagraph"/>
              <w:numPr>
                <w:ilvl w:val="0"/>
                <w:numId w:val="35"/>
              </w:numPr>
              <w:spacing w:line="360" w:lineRule="auto"/>
            </w:pPr>
            <w:r w:rsidRPr="003B1ACB">
              <w:rPr>
                <w:i/>
              </w:rPr>
              <w:t>Inpatient setting only</w:t>
            </w:r>
            <w:r>
              <w:rPr>
                <w:b/>
              </w:rPr>
              <w:t xml:space="preserve">: </w:t>
            </w:r>
            <w:r w:rsidR="006E3C6C" w:rsidRPr="003B1ACB">
              <w:rPr>
                <w:b/>
              </w:rPr>
              <w:t>Discharge Summary</w:t>
            </w:r>
            <w:r>
              <w:rPr>
                <w:b/>
              </w:rPr>
              <w:t xml:space="preserve"> </w:t>
            </w:r>
          </w:p>
        </w:tc>
      </w:tr>
      <w:tr w:rsidR="00F84F05" w:rsidRPr="007A2A58" w:rsidTr="00F84F05">
        <w:tc>
          <w:tcPr>
            <w:tcW w:w="828" w:type="dxa"/>
            <w:tcBorders>
              <w:right w:val="single" w:sz="4" w:space="0" w:color="auto"/>
            </w:tcBorders>
          </w:tcPr>
          <w:sdt>
            <w:sdtPr>
              <w:id w:val="1596283395"/>
              <w14:checkbox>
                <w14:checked w14:val="0"/>
                <w14:checkedState w14:val="2612" w14:font="Arial Unicode MS"/>
                <w14:uncheckedState w14:val="2610" w14:font="Arial Unicode MS"/>
              </w14:checkbox>
            </w:sdtPr>
            <w:sdtEndPr/>
            <w:sdtContent>
              <w:p w:rsidR="00F84F05" w:rsidRPr="007A2A58" w:rsidRDefault="00F84F05" w:rsidP="00BD174F">
                <w:pPr>
                  <w:spacing w:line="360" w:lineRule="auto"/>
                  <w:rPr>
                    <w:u w:val="single"/>
                  </w:rPr>
                </w:pPr>
                <w:r w:rsidRPr="007A2A58">
                  <w:rPr>
                    <w:rFonts w:ascii="MS Gothic" w:eastAsia="MS Gothic" w:hAnsi="MS Gothic" w:hint="eastAsia"/>
                  </w:rPr>
                  <w:t>☐</w:t>
                </w:r>
              </w:p>
            </w:sdtContent>
          </w:sdt>
        </w:tc>
        <w:tc>
          <w:tcPr>
            <w:tcW w:w="7668" w:type="dxa"/>
            <w:tcBorders>
              <w:left w:val="single" w:sz="4" w:space="0" w:color="auto"/>
            </w:tcBorders>
            <w:vAlign w:val="center"/>
          </w:tcPr>
          <w:p w:rsidR="00F84F05" w:rsidRPr="007A2A58" w:rsidRDefault="00974474" w:rsidP="00974474">
            <w:pPr>
              <w:spacing w:line="360" w:lineRule="auto"/>
            </w:pPr>
            <w:r>
              <w:t xml:space="preserve">User </w:t>
            </w:r>
            <w:r w:rsidR="00F84F05">
              <w:t>set</w:t>
            </w:r>
            <w:r>
              <w:t>s</w:t>
            </w:r>
            <w:r w:rsidR="00F84F05">
              <w:t xml:space="preserve"> preferences on which sections to display.</w:t>
            </w:r>
          </w:p>
        </w:tc>
      </w:tr>
      <w:tr w:rsidR="00F84F05" w:rsidRPr="007A2A58" w:rsidTr="00974474">
        <w:tc>
          <w:tcPr>
            <w:tcW w:w="828" w:type="dxa"/>
            <w:tcBorders>
              <w:bottom w:val="single" w:sz="4" w:space="0" w:color="auto"/>
              <w:right w:val="single" w:sz="4" w:space="0" w:color="auto"/>
            </w:tcBorders>
          </w:tcPr>
          <w:sdt>
            <w:sdtPr>
              <w:id w:val="293566722"/>
              <w14:checkbox>
                <w14:checked w14:val="0"/>
                <w14:checkedState w14:val="2612" w14:font="Arial Unicode MS"/>
                <w14:uncheckedState w14:val="2610" w14:font="Arial Unicode MS"/>
              </w14:checkbox>
            </w:sdtPr>
            <w:sdtEndPr/>
            <w:sdtContent>
              <w:p w:rsidR="00F84F05" w:rsidRDefault="00F84F05" w:rsidP="00BD174F">
                <w:pPr>
                  <w:spacing w:line="360" w:lineRule="auto"/>
                </w:pPr>
                <w:r w:rsidRPr="007A2A58">
                  <w:rPr>
                    <w:rFonts w:ascii="MS Gothic" w:eastAsia="MS Gothic" w:hAnsi="MS Gothic" w:hint="eastAsia"/>
                  </w:rPr>
                  <w:t>☐</w:t>
                </w:r>
              </w:p>
            </w:sdtContent>
          </w:sdt>
        </w:tc>
        <w:tc>
          <w:tcPr>
            <w:tcW w:w="7668" w:type="dxa"/>
            <w:tcBorders>
              <w:left w:val="single" w:sz="4" w:space="0" w:color="auto"/>
              <w:bottom w:val="single" w:sz="4" w:space="0" w:color="auto"/>
            </w:tcBorders>
            <w:vAlign w:val="center"/>
          </w:tcPr>
          <w:p w:rsidR="00F84F05" w:rsidRDefault="00974474" w:rsidP="00AE5DC4">
            <w:pPr>
              <w:spacing w:line="360" w:lineRule="auto"/>
            </w:pPr>
            <w:r>
              <w:t xml:space="preserve">User </w:t>
            </w:r>
            <w:r w:rsidR="00AE5DC4">
              <w:t xml:space="preserve">demonstrates </w:t>
            </w:r>
            <w:r w:rsidR="00F84F05">
              <w:t>control</w:t>
            </w:r>
            <w:r w:rsidR="00AE5DC4">
              <w:t xml:space="preserve"> of</w:t>
            </w:r>
            <w:r w:rsidR="00F84F05">
              <w:t xml:space="preserve"> the display </w:t>
            </w:r>
            <w:r>
              <w:t xml:space="preserve">order </w:t>
            </w:r>
            <w:r w:rsidR="00F84F05">
              <w:t>f</w:t>
            </w:r>
            <w:r>
              <w:t>or</w:t>
            </w:r>
            <w:r w:rsidR="00F84F05">
              <w:t xml:space="preserve"> specific sections.</w:t>
            </w:r>
          </w:p>
        </w:tc>
      </w:tr>
      <w:tr w:rsidR="00F84F05" w:rsidRPr="007A2A58" w:rsidTr="00974474">
        <w:tc>
          <w:tcPr>
            <w:tcW w:w="828" w:type="dxa"/>
            <w:tcBorders>
              <w:bottom w:val="single" w:sz="4" w:space="0" w:color="auto"/>
              <w:right w:val="single" w:sz="4" w:space="0" w:color="auto"/>
            </w:tcBorders>
          </w:tcPr>
          <w:sdt>
            <w:sdtPr>
              <w:id w:val="-1580213025"/>
              <w14:checkbox>
                <w14:checked w14:val="0"/>
                <w14:checkedState w14:val="2612" w14:font="Arial Unicode MS"/>
                <w14:uncheckedState w14:val="2610" w14:font="Arial Unicode MS"/>
              </w14:checkbox>
            </w:sdtPr>
            <w:sdtEndPr/>
            <w:sdtContent>
              <w:p w:rsidR="00F84F05" w:rsidRDefault="00F84F05" w:rsidP="00BD174F">
                <w:pPr>
                  <w:spacing w:line="360" w:lineRule="auto"/>
                </w:pPr>
                <w:r w:rsidRPr="007A2A58">
                  <w:rPr>
                    <w:rFonts w:ascii="MS Gothic" w:eastAsia="MS Gothic" w:hAnsi="MS Gothic" w:hint="eastAsia"/>
                  </w:rPr>
                  <w:t>☐</w:t>
                </w:r>
              </w:p>
            </w:sdtContent>
          </w:sdt>
        </w:tc>
        <w:tc>
          <w:tcPr>
            <w:tcW w:w="7668" w:type="dxa"/>
            <w:tcBorders>
              <w:left w:val="single" w:sz="4" w:space="0" w:color="auto"/>
              <w:bottom w:val="single" w:sz="4" w:space="0" w:color="auto"/>
            </w:tcBorders>
            <w:vAlign w:val="center"/>
          </w:tcPr>
          <w:p w:rsidR="00F84F05" w:rsidRDefault="00F84F05" w:rsidP="00974474">
            <w:pPr>
              <w:spacing w:line="360" w:lineRule="auto"/>
            </w:pPr>
            <w:r>
              <w:t xml:space="preserve">User </w:t>
            </w:r>
            <w:r w:rsidR="00974474">
              <w:t xml:space="preserve">demonstrates </w:t>
            </w:r>
            <w:r>
              <w:t xml:space="preserve">control </w:t>
            </w:r>
            <w:r w:rsidR="00974474">
              <w:t xml:space="preserve">of </w:t>
            </w:r>
            <w:r>
              <w:t>the initial quantity of sections to display.</w:t>
            </w:r>
          </w:p>
        </w:tc>
      </w:tr>
    </w:tbl>
    <w:p w:rsidR="00F84F05" w:rsidRDefault="00F84F05" w:rsidP="006E3C6C">
      <w:pPr>
        <w:spacing w:line="360" w:lineRule="auto"/>
        <w:rPr>
          <w:color w:val="A6A6A6" w:themeColor="background1" w:themeShade="A6"/>
        </w:rPr>
      </w:pPr>
    </w:p>
    <w:p w:rsidR="00F84F05" w:rsidRDefault="00F84F05" w:rsidP="00F84F05">
      <w:pPr>
        <w:spacing w:line="360" w:lineRule="auto"/>
        <w:rPr>
          <w:color w:val="A6A6A6" w:themeColor="background1" w:themeShade="A6"/>
        </w:rPr>
      </w:pPr>
      <w:r>
        <w:rPr>
          <w:color w:val="A6A6A6" w:themeColor="background1" w:themeShade="A6"/>
        </w:rPr>
        <w:t>&lt;INSERT SCREEN SHOTS</w:t>
      </w:r>
      <w:r w:rsidRPr="003D768F">
        <w:rPr>
          <w:color w:val="A6A6A6" w:themeColor="background1" w:themeShade="A6"/>
        </w:rPr>
        <w:t>&gt;</w:t>
      </w:r>
    </w:p>
    <w:p w:rsidR="00D92ECE" w:rsidRDefault="00D92ECE" w:rsidP="00D92ECE"/>
    <w:p w:rsidR="00BB1360" w:rsidRDefault="00BB1360" w:rsidP="002A1617">
      <w:pPr>
        <w:rPr>
          <w:b/>
        </w:rPr>
      </w:pPr>
    </w:p>
    <w:p w:rsidR="002A1617" w:rsidRPr="006A16E9" w:rsidRDefault="005D543B" w:rsidP="002A1617">
      <w:r>
        <w:rPr>
          <w:b/>
        </w:rPr>
        <w:lastRenderedPageBreak/>
        <w:t>1.4 Error Detection and Handling</w:t>
      </w:r>
    </w:p>
    <w:tbl>
      <w:tblPr>
        <w:tblStyle w:val="TableGrid"/>
        <w:tblW w:w="0" w:type="auto"/>
        <w:tblLook w:val="04A0" w:firstRow="1" w:lastRow="0" w:firstColumn="1" w:lastColumn="0" w:noHBand="0" w:noVBand="1"/>
      </w:tblPr>
      <w:tblGrid>
        <w:gridCol w:w="828"/>
        <w:gridCol w:w="7668"/>
      </w:tblGrid>
      <w:tr w:rsidR="002A1617" w:rsidTr="004D6372">
        <w:sdt>
          <w:sdtPr>
            <w:id w:val="1013728735"/>
            <w14:checkbox>
              <w14:checked w14:val="0"/>
              <w14:checkedState w14:val="2612" w14:font="Arial Unicode MS"/>
              <w14:uncheckedState w14:val="2610" w14:font="Arial Unicode MS"/>
            </w14:checkbox>
          </w:sdtPr>
          <w:sdtEndPr/>
          <w:sdtContent>
            <w:tc>
              <w:tcPr>
                <w:tcW w:w="828" w:type="dxa"/>
                <w:tcBorders>
                  <w:right w:val="single" w:sz="4" w:space="0" w:color="auto"/>
                </w:tcBorders>
                <w:vAlign w:val="center"/>
              </w:tcPr>
              <w:p w:rsidR="002A1617" w:rsidRDefault="002A1617" w:rsidP="004D6372">
                <w:pPr>
                  <w:spacing w:line="360" w:lineRule="auto"/>
                  <w:rPr>
                    <w:u w:val="single"/>
                  </w:rPr>
                </w:pPr>
                <w:r>
                  <w:rPr>
                    <w:rFonts w:ascii="MS Gothic" w:eastAsia="MS Gothic" w:hAnsi="MS Gothic" w:hint="eastAsia"/>
                  </w:rPr>
                  <w:t>☐</w:t>
                </w:r>
              </w:p>
            </w:tc>
          </w:sdtContent>
        </w:sdt>
        <w:tc>
          <w:tcPr>
            <w:tcW w:w="7668" w:type="dxa"/>
            <w:tcBorders>
              <w:left w:val="single" w:sz="4" w:space="0" w:color="auto"/>
            </w:tcBorders>
            <w:vAlign w:val="center"/>
          </w:tcPr>
          <w:p w:rsidR="002A1617" w:rsidRPr="00C15A82" w:rsidRDefault="0055505D" w:rsidP="005D543B">
            <w:pPr>
              <w:spacing w:line="360" w:lineRule="auto"/>
            </w:pPr>
            <w:r>
              <w:t xml:space="preserve">Health IT developer downloads negative test data files </w:t>
            </w:r>
            <w:r w:rsidR="005D543B">
              <w:t>“</w:t>
            </w:r>
            <w:r w:rsidR="005D543B" w:rsidRPr="005D543B">
              <w:rPr>
                <w:rFonts w:ascii="Leelawadee UI" w:hAnsi="Leelawadee UI" w:cs="Leelawadee UI"/>
                <w:b/>
              </w:rPr>
              <w:t>NT_*_.xml</w:t>
            </w:r>
            <w:r w:rsidR="005D543B">
              <w:t xml:space="preserve">” </w:t>
            </w:r>
            <w:r>
              <w:t xml:space="preserve">for the applicable setting and imports into the </w:t>
            </w:r>
            <w:r w:rsidR="005D543B">
              <w:t>health IT</w:t>
            </w:r>
            <w:r>
              <w:t xml:space="preserve"> module.   </w:t>
            </w:r>
          </w:p>
        </w:tc>
      </w:tr>
    </w:tbl>
    <w:p w:rsidR="0055505D" w:rsidRDefault="0055505D" w:rsidP="002A1617">
      <w:pPr>
        <w:spacing w:line="360" w:lineRule="auto"/>
        <w:rPr>
          <w:color w:val="A6A6A6" w:themeColor="background1" w:themeShade="A6"/>
        </w:rPr>
      </w:pPr>
    </w:p>
    <w:p w:rsidR="002A1617" w:rsidRDefault="002A1617" w:rsidP="002A1617">
      <w:pPr>
        <w:spacing w:line="360" w:lineRule="auto"/>
        <w:rPr>
          <w:color w:val="A6A6A6" w:themeColor="background1" w:themeShade="A6"/>
        </w:rPr>
      </w:pPr>
      <w:r>
        <w:rPr>
          <w:color w:val="A6A6A6" w:themeColor="background1" w:themeShade="A6"/>
        </w:rPr>
        <w:t>&lt;INSERT LINK TO CCDA NEGATIVE TEST FILES</w:t>
      </w:r>
      <w:r w:rsidRPr="003D768F">
        <w:rPr>
          <w:color w:val="A6A6A6" w:themeColor="background1" w:themeShade="A6"/>
        </w:rPr>
        <w:t xml:space="preserve"> &gt;</w:t>
      </w:r>
    </w:p>
    <w:p w:rsidR="002A1617" w:rsidRPr="006A16E9" w:rsidRDefault="002A1617" w:rsidP="002A1617"/>
    <w:tbl>
      <w:tblPr>
        <w:tblStyle w:val="TableGrid"/>
        <w:tblW w:w="0" w:type="auto"/>
        <w:tblLook w:val="04A0" w:firstRow="1" w:lastRow="0" w:firstColumn="1" w:lastColumn="0" w:noHBand="0" w:noVBand="1"/>
      </w:tblPr>
      <w:tblGrid>
        <w:gridCol w:w="828"/>
        <w:gridCol w:w="7668"/>
      </w:tblGrid>
      <w:tr w:rsidR="002A1617" w:rsidTr="004D6372">
        <w:sdt>
          <w:sdtPr>
            <w:id w:val="-847184176"/>
            <w14:checkbox>
              <w14:checked w14:val="0"/>
              <w14:checkedState w14:val="2612" w14:font="Arial Unicode MS"/>
              <w14:uncheckedState w14:val="2610" w14:font="Arial Unicode MS"/>
            </w14:checkbox>
          </w:sdtPr>
          <w:sdtEndPr/>
          <w:sdtContent>
            <w:tc>
              <w:tcPr>
                <w:tcW w:w="828" w:type="dxa"/>
                <w:tcBorders>
                  <w:right w:val="single" w:sz="4" w:space="0" w:color="auto"/>
                </w:tcBorders>
              </w:tcPr>
              <w:p w:rsidR="002A1617" w:rsidRDefault="002A1617" w:rsidP="004D6372">
                <w:pPr>
                  <w:spacing w:line="360" w:lineRule="auto"/>
                  <w:rPr>
                    <w:u w:val="single"/>
                  </w:rPr>
                </w:pPr>
                <w:r>
                  <w:rPr>
                    <w:rFonts w:ascii="MS Gothic" w:eastAsia="MS Gothic" w:hAnsi="MS Gothic" w:hint="eastAsia"/>
                  </w:rPr>
                  <w:t>☐</w:t>
                </w:r>
              </w:p>
            </w:tc>
          </w:sdtContent>
        </w:sdt>
        <w:tc>
          <w:tcPr>
            <w:tcW w:w="7668" w:type="dxa"/>
            <w:tcBorders>
              <w:left w:val="single" w:sz="4" w:space="0" w:color="auto"/>
            </w:tcBorders>
            <w:vAlign w:val="center"/>
          </w:tcPr>
          <w:p w:rsidR="002A1617" w:rsidRDefault="00477963" w:rsidP="004D6372">
            <w:pPr>
              <w:spacing w:line="360" w:lineRule="auto"/>
            </w:pPr>
            <w:r>
              <w:t xml:space="preserve">Using health IT module functionality, user </w:t>
            </w:r>
            <w:r w:rsidR="002A1617">
              <w:t>successfully parse</w:t>
            </w:r>
            <w:r>
              <w:t>s</w:t>
            </w:r>
            <w:r w:rsidR="002A1617">
              <w:t xml:space="preserve"> and reject</w:t>
            </w:r>
            <w:r>
              <w:t>s</w:t>
            </w:r>
            <w:r w:rsidR="002A1617">
              <w:t xml:space="preserve"> all CCDA document templates for each sample negative test case for the appropriate health care setting:</w:t>
            </w:r>
          </w:p>
          <w:p w:rsidR="002A1617" w:rsidRPr="00477963" w:rsidRDefault="002A1617" w:rsidP="00477963">
            <w:pPr>
              <w:pStyle w:val="ListParagraph"/>
              <w:numPr>
                <w:ilvl w:val="0"/>
                <w:numId w:val="30"/>
              </w:numPr>
              <w:spacing w:line="360" w:lineRule="auto"/>
              <w:rPr>
                <w:b/>
              </w:rPr>
            </w:pPr>
            <w:r w:rsidRPr="00477963">
              <w:rPr>
                <w:b/>
              </w:rPr>
              <w:t>Continuity of Care Document</w:t>
            </w:r>
            <w:r w:rsidR="009B26FC">
              <w:rPr>
                <w:b/>
              </w:rPr>
              <w:t>;</w:t>
            </w:r>
            <w:r w:rsidRPr="00477963">
              <w:rPr>
                <w:b/>
              </w:rPr>
              <w:t xml:space="preserve"> </w:t>
            </w:r>
          </w:p>
          <w:p w:rsidR="002A1617" w:rsidRPr="00477963" w:rsidRDefault="009B26FC" w:rsidP="00477963">
            <w:pPr>
              <w:pStyle w:val="ListParagraph"/>
              <w:numPr>
                <w:ilvl w:val="0"/>
                <w:numId w:val="30"/>
              </w:numPr>
              <w:spacing w:line="360" w:lineRule="auto"/>
              <w:rPr>
                <w:b/>
              </w:rPr>
            </w:pPr>
            <w:r>
              <w:rPr>
                <w:b/>
              </w:rPr>
              <w:t>Referral Note; and</w:t>
            </w:r>
          </w:p>
          <w:p w:rsidR="002A1617" w:rsidRPr="00C15A82" w:rsidRDefault="00477963" w:rsidP="00B314C7">
            <w:pPr>
              <w:pStyle w:val="ListParagraph"/>
              <w:numPr>
                <w:ilvl w:val="0"/>
                <w:numId w:val="30"/>
              </w:numPr>
              <w:spacing w:line="360" w:lineRule="auto"/>
            </w:pPr>
            <w:r w:rsidRPr="00477963">
              <w:rPr>
                <w:i/>
              </w:rPr>
              <w:t>Inpatient setting only:</w:t>
            </w:r>
            <w:r>
              <w:t xml:space="preserve"> </w:t>
            </w:r>
            <w:r w:rsidR="002A1617" w:rsidRPr="00477963">
              <w:rPr>
                <w:b/>
              </w:rPr>
              <w:t>Discharge Summary</w:t>
            </w:r>
          </w:p>
        </w:tc>
      </w:tr>
      <w:tr w:rsidR="002A1617" w:rsidTr="004D6372">
        <w:sdt>
          <w:sdtPr>
            <w:id w:val="1127048471"/>
            <w14:checkbox>
              <w14:checked w14:val="0"/>
              <w14:checkedState w14:val="2612" w14:font="Arial Unicode MS"/>
              <w14:uncheckedState w14:val="2610" w14:font="Arial Unicode MS"/>
            </w14:checkbox>
          </w:sdtPr>
          <w:sdtEndPr/>
          <w:sdtContent>
            <w:tc>
              <w:tcPr>
                <w:tcW w:w="828" w:type="dxa"/>
                <w:tcBorders>
                  <w:right w:val="single" w:sz="4" w:space="0" w:color="auto"/>
                </w:tcBorders>
              </w:tcPr>
              <w:p w:rsidR="002A1617" w:rsidRDefault="002A1617" w:rsidP="004D6372">
                <w:pPr>
                  <w:spacing w:line="360" w:lineRule="auto"/>
                  <w:rPr>
                    <w:u w:val="single"/>
                  </w:rPr>
                </w:pPr>
                <w:r>
                  <w:rPr>
                    <w:rFonts w:ascii="MS Gothic" w:eastAsia="MS Gothic" w:hAnsi="MS Gothic" w:hint="eastAsia"/>
                  </w:rPr>
                  <w:t>☐</w:t>
                </w:r>
              </w:p>
            </w:tc>
          </w:sdtContent>
        </w:sdt>
        <w:tc>
          <w:tcPr>
            <w:tcW w:w="7668" w:type="dxa"/>
            <w:tcBorders>
              <w:left w:val="single" w:sz="4" w:space="0" w:color="auto"/>
            </w:tcBorders>
            <w:vAlign w:val="center"/>
          </w:tcPr>
          <w:p w:rsidR="002A1617" w:rsidRPr="00C15A82" w:rsidRDefault="005D41CE" w:rsidP="004D6372">
            <w:pPr>
              <w:spacing w:line="360" w:lineRule="auto"/>
            </w:pPr>
            <w:r>
              <w:t>Proctor verifies h</w:t>
            </w:r>
            <w:r w:rsidR="002A1617">
              <w:t>ealth IT module correctly identifies errors in the CCDA document and identifies the C-CDA document as invalid.</w:t>
            </w:r>
          </w:p>
        </w:tc>
      </w:tr>
      <w:tr w:rsidR="002A1617" w:rsidTr="004D6372">
        <w:sdt>
          <w:sdtPr>
            <w:id w:val="-2074034559"/>
            <w14:checkbox>
              <w14:checked w14:val="0"/>
              <w14:checkedState w14:val="2612" w14:font="Arial Unicode MS"/>
              <w14:uncheckedState w14:val="2610" w14:font="Arial Unicode MS"/>
            </w14:checkbox>
          </w:sdtPr>
          <w:sdtEndPr/>
          <w:sdtContent>
            <w:tc>
              <w:tcPr>
                <w:tcW w:w="828" w:type="dxa"/>
                <w:tcBorders>
                  <w:right w:val="single" w:sz="4" w:space="0" w:color="auto"/>
                </w:tcBorders>
              </w:tcPr>
              <w:p w:rsidR="002A1617" w:rsidRDefault="002A1617" w:rsidP="004D6372">
                <w:pPr>
                  <w:spacing w:line="360" w:lineRule="auto"/>
                </w:pPr>
                <w:r>
                  <w:rPr>
                    <w:rFonts w:ascii="MS Gothic" w:eastAsia="MS Gothic" w:hAnsi="MS Gothic" w:hint="eastAsia"/>
                  </w:rPr>
                  <w:t>☐</w:t>
                </w:r>
              </w:p>
            </w:tc>
          </w:sdtContent>
        </w:sdt>
        <w:tc>
          <w:tcPr>
            <w:tcW w:w="7668" w:type="dxa"/>
            <w:tcBorders>
              <w:left w:val="single" w:sz="4" w:space="0" w:color="auto"/>
            </w:tcBorders>
            <w:vAlign w:val="center"/>
          </w:tcPr>
          <w:p w:rsidR="002A1617" w:rsidRDefault="002A1617" w:rsidP="005D41CE">
            <w:pPr>
              <w:spacing w:line="360" w:lineRule="auto"/>
            </w:pPr>
            <w:r>
              <w:t>Errors encountered during the parsing and processing of th</w:t>
            </w:r>
            <w:r w:rsidR="005D41CE">
              <w:t>e C-CDA documents are recorded.  U</w:t>
            </w:r>
            <w:r>
              <w:t xml:space="preserve">ser is either notified of the errors produced </w:t>
            </w:r>
            <w:r w:rsidRPr="005D41CE">
              <w:rPr>
                <w:b/>
              </w:rPr>
              <w:t>OR</w:t>
            </w:r>
            <w:r w:rsidRPr="005D41CE">
              <w:t xml:space="preserve"> </w:t>
            </w:r>
            <w:r>
              <w:t>can review all of</w:t>
            </w:r>
            <w:r w:rsidR="000B543C">
              <w:t xml:space="preserve"> the recorded errors using the health IT m</w:t>
            </w:r>
            <w:r>
              <w:t>odule</w:t>
            </w:r>
            <w:r w:rsidR="000B543C">
              <w:t>.</w:t>
            </w:r>
          </w:p>
        </w:tc>
      </w:tr>
    </w:tbl>
    <w:p w:rsidR="002A1617" w:rsidRDefault="002A1617" w:rsidP="002A1617">
      <w:pPr>
        <w:spacing w:line="360" w:lineRule="auto"/>
        <w:rPr>
          <w:color w:val="A6A6A6" w:themeColor="background1" w:themeShade="A6"/>
        </w:rPr>
      </w:pPr>
    </w:p>
    <w:p w:rsidR="002A1617" w:rsidRDefault="004A4987" w:rsidP="004A4987">
      <w:pPr>
        <w:spacing w:line="360" w:lineRule="auto"/>
        <w:rPr>
          <w:color w:val="A6A6A6" w:themeColor="background1" w:themeShade="A6"/>
        </w:rPr>
      </w:pPr>
      <w:r>
        <w:rPr>
          <w:color w:val="A6A6A6" w:themeColor="background1" w:themeShade="A6"/>
        </w:rPr>
        <w:t>&lt;INSERT SCREEN SHOTS&gt;</w:t>
      </w:r>
    </w:p>
    <w:p w:rsidR="002A1617" w:rsidRDefault="002A1617" w:rsidP="002A1617"/>
    <w:p w:rsidR="002A1617" w:rsidRDefault="002A1617" w:rsidP="002A1617"/>
    <w:p w:rsidR="008A5CF9" w:rsidRDefault="008A5CF9" w:rsidP="008B7E65"/>
    <w:p w:rsidR="009A1DB9" w:rsidRDefault="009A1DB9">
      <w:r>
        <w:br w:type="page"/>
      </w:r>
    </w:p>
    <w:p w:rsidR="00362E3C" w:rsidRDefault="00362E3C" w:rsidP="00362E3C">
      <w:pPr>
        <w:pStyle w:val="Heading1"/>
      </w:pPr>
      <w:bookmarkStart w:id="8" w:name="_Appendix_A:_Testing"/>
      <w:bookmarkEnd w:id="8"/>
      <w:r>
        <w:lastRenderedPageBreak/>
        <w:t>Appendix A: Testing Guide</w:t>
      </w:r>
      <w:bookmarkEnd w:id="7"/>
    </w:p>
    <w:p w:rsidR="00362E3C" w:rsidRDefault="00362E3C" w:rsidP="00362E3C">
      <w:pPr>
        <w:rPr>
          <w:i/>
        </w:rPr>
      </w:pPr>
      <w:r>
        <w:rPr>
          <w:i/>
        </w:rPr>
        <w:t>This appendix contains more details and background on the testing requirements, including explanation on underlying standards, notable issues and best practice suggestions.</w:t>
      </w:r>
    </w:p>
    <w:p w:rsidR="00362E3C" w:rsidRDefault="00362E3C" w:rsidP="00362E3C">
      <w:pPr>
        <w:rPr>
          <w:i/>
        </w:rPr>
      </w:pPr>
    </w:p>
    <w:p w:rsidR="00362E3C" w:rsidRDefault="00362E3C" w:rsidP="00362E3C"/>
    <w:p w:rsidR="008B6A76" w:rsidRDefault="0041704D" w:rsidP="008B6A76">
      <w:r w:rsidRPr="00230C89">
        <w:t>Rev 01</w:t>
      </w:r>
      <w:r w:rsidR="008D3CE5">
        <w:t>-Mar</w:t>
      </w:r>
      <w:r>
        <w:t>-</w:t>
      </w:r>
      <w:r w:rsidRPr="00230C89">
        <w:t>2016</w:t>
      </w:r>
      <w:r>
        <w:t xml:space="preserve"> Additions</w:t>
      </w:r>
    </w:p>
    <w:p w:rsidR="00362E3C" w:rsidRDefault="008B6A76" w:rsidP="008B6A76">
      <w:pPr>
        <w:pStyle w:val="ListParagraph"/>
        <w:numPr>
          <w:ilvl w:val="0"/>
          <w:numId w:val="44"/>
        </w:numPr>
      </w:pPr>
      <w:r w:rsidRPr="008B6A76">
        <w:t>The scope of this criterion is limited to the Consolidated CDA (C-CDA) Continuity of Care Document (CCD), Referral Note, and (for the inpatient setting only) Discharge Summary document templates.</w:t>
      </w:r>
    </w:p>
    <w:p w:rsidR="0085478F" w:rsidRDefault="0085478F" w:rsidP="0085478F">
      <w:pPr>
        <w:pStyle w:val="ListParagraph"/>
        <w:numPr>
          <w:ilvl w:val="0"/>
          <w:numId w:val="44"/>
        </w:numPr>
      </w:pPr>
      <w:r w:rsidRPr="001136E9">
        <w:t xml:space="preserve">We recommend health IT developers and providers follow the guidance provided in the </w:t>
      </w:r>
      <w:hyperlink r:id="rId13" w:history="1">
        <w:r>
          <w:rPr>
            <w:rStyle w:val="Hyperlink"/>
          </w:rPr>
          <w:t>HL7 Implementation Guide: S&amp;I Framework Transitions of Care Companion Guide to Consolidated-CDA for Meaningful Use Stage 2, Release 1 – US Realm</w:t>
        </w:r>
      </w:hyperlink>
      <w:r>
        <w:t xml:space="preserve">. </w:t>
      </w:r>
      <w:r w:rsidRPr="001136E9">
        <w:t>This Companion Guide includes industry best practices guidance for consistent implementation of the CCDA Release 1.1 standard, including mapping Common MU Data Set el</w:t>
      </w:r>
      <w:r>
        <w:t xml:space="preserve">ements into the C-CDA standard.  </w:t>
      </w:r>
      <w:r w:rsidRPr="001136E9">
        <w:t>We understand that HL7 is developing a Companion Guide for C-CDA Release 2.1 and intend to update this document once it becomes publicly available. In the meantime, we recommend developers follow the guidance provided by the HL7 CDA Example Task Force for implementation of the CCDA Release 2.1 standard.</w:t>
      </w:r>
    </w:p>
    <w:p w:rsidR="0085478F" w:rsidRDefault="0085478F" w:rsidP="0085478F">
      <w:pPr>
        <w:pStyle w:val="ListParagraph"/>
        <w:numPr>
          <w:ilvl w:val="0"/>
          <w:numId w:val="44"/>
        </w:numPr>
      </w:pPr>
      <w:r w:rsidRPr="0085478F">
        <w:t xml:space="preserve">Ambulatory setting only – The user is able to receive a C-CDA (formatted to either Release 1.1 or Release 2.1) that also includes the reason for referral and the </w:t>
      </w:r>
      <w:r>
        <w:t>r</w:t>
      </w:r>
      <w:r w:rsidRPr="0085478F">
        <w:t>eferring or transitioning provider’s name a</w:t>
      </w:r>
      <w:r>
        <w:t xml:space="preserve">nd office contact information. </w:t>
      </w:r>
    </w:p>
    <w:p w:rsidR="0085478F" w:rsidRDefault="0085478F" w:rsidP="0085478F">
      <w:pPr>
        <w:pStyle w:val="ListParagraph"/>
        <w:numPr>
          <w:ilvl w:val="0"/>
          <w:numId w:val="44"/>
        </w:numPr>
      </w:pPr>
      <w:r w:rsidRPr="0085478F">
        <w:t>Inpatient setting only – The user is able to create a C-CDA (formatted to either Release 1.1 or Release 2.1) that also includes the discharge instructions.</w:t>
      </w:r>
    </w:p>
    <w:p w:rsidR="0085478F" w:rsidRDefault="0085478F" w:rsidP="0085478F">
      <w:pPr>
        <w:pStyle w:val="ListParagraph"/>
        <w:numPr>
          <w:ilvl w:val="0"/>
          <w:numId w:val="44"/>
        </w:numPr>
      </w:pPr>
      <w:r w:rsidRPr="0085478F">
        <w:t>Health IT Modules</w:t>
      </w:r>
      <w:r>
        <w:t xml:space="preserve"> are required</w:t>
      </w:r>
      <w:r w:rsidRPr="0085478F">
        <w:t xml:space="preserve"> to be able to receive C-CDAs formatted to both CCDA Release 1.1 and 2.1. While Release 2.1 largely ensures compatibility between CCDA Release 1.1 and 2.0, it does not guarantee compatibility without further development effort.</w:t>
      </w:r>
    </w:p>
    <w:p w:rsidR="00DE2278" w:rsidRDefault="00DE2278" w:rsidP="00DE2278">
      <w:pPr>
        <w:pStyle w:val="ListParagraph"/>
        <w:numPr>
          <w:ilvl w:val="0"/>
          <w:numId w:val="44"/>
        </w:numPr>
      </w:pPr>
      <w:r w:rsidRPr="00DE2278">
        <w:t>In order to facilitate the translation of SNOMED CT® codes to ICD-10-CM in administrative systems, developers are encouraged to reference the publicly available mapping that the National Library of Medicine provides.</w:t>
      </w:r>
    </w:p>
    <w:p w:rsidR="00DE2278" w:rsidRDefault="00DE2278" w:rsidP="00DE2278">
      <w:pPr>
        <w:pStyle w:val="ListParagraph"/>
        <w:numPr>
          <w:ilvl w:val="0"/>
          <w:numId w:val="44"/>
        </w:numPr>
      </w:pPr>
      <w:r w:rsidRPr="00DE2278">
        <w:t>The C-CDA Cognitive Status Observation template has been deprecated in Release 2.1 and has been replaced with the Mental Status Observation template. Developers should use the Mental Status Observation template for cognitive status and be aware that the CCDA validator will issue an error if the deprecated Cognitive Status Observation is used instead.</w:t>
      </w:r>
    </w:p>
    <w:p w:rsidR="00DE2278" w:rsidRDefault="00DE2278" w:rsidP="00DE2278">
      <w:pPr>
        <w:pStyle w:val="ListParagraph"/>
        <w:numPr>
          <w:ilvl w:val="0"/>
          <w:numId w:val="44"/>
        </w:numPr>
      </w:pPr>
      <w:r w:rsidRPr="00DE2278">
        <w:t xml:space="preserve">Testing for the receipt of C-CDA Release 1.1 documents will offer two options – to test either a non-specified C-CDA document or a CCD. Health IT Modules will not be tested for C-CDA Release 1.1 Referral Note and Discharge Summary document templates. Note that Health IT Modules will be tested for receipt of all </w:t>
      </w:r>
      <w:r w:rsidRPr="00DE2278">
        <w:lastRenderedPageBreak/>
        <w:t>three document templates (i.e., CCD, Referral Note, and (for inpatient settings only) Discharge Summary) for C-CDA Release 2.1.</w:t>
      </w:r>
    </w:p>
    <w:p w:rsidR="00E841FF" w:rsidRDefault="00E841FF" w:rsidP="00E841FF">
      <w:pPr>
        <w:pStyle w:val="ListParagraph"/>
        <w:numPr>
          <w:ilvl w:val="0"/>
          <w:numId w:val="44"/>
        </w:numPr>
      </w:pPr>
      <w:r w:rsidRPr="00E841FF">
        <w:t>Error notification should be made available to authorized users of the receiving organization who can deal with the errors as appropriate and the error may be resolved by a support analyst or end user.</w:t>
      </w:r>
    </w:p>
    <w:p w:rsidR="00E841FF" w:rsidRDefault="00E841FF" w:rsidP="00E841FF">
      <w:pPr>
        <w:pStyle w:val="ListParagraph"/>
        <w:numPr>
          <w:ilvl w:val="0"/>
          <w:numId w:val="44"/>
        </w:numPr>
      </w:pPr>
      <w:r w:rsidRPr="00E841FF">
        <w:t>There is no requirement that users be interrupted to be notified of errors, only that the user can access and review the errors.</w:t>
      </w:r>
    </w:p>
    <w:p w:rsidR="00E841FF" w:rsidRDefault="00E841FF" w:rsidP="00E841FF">
      <w:pPr>
        <w:pStyle w:val="ListParagraph"/>
        <w:numPr>
          <w:ilvl w:val="0"/>
          <w:numId w:val="44"/>
        </w:numPr>
      </w:pPr>
      <w:r w:rsidRPr="00E841FF">
        <w:t>Receiving systems are not expected to translate codes from a source that has not formatted the data according to the applicable vocabulary standard required by the C-CDA Releases 1.1 and 2.1.</w:t>
      </w:r>
      <w:r>
        <w:t xml:space="preserve">  </w:t>
      </w:r>
      <w:r w:rsidRPr="00E841FF">
        <w:t>However, receiving systems would be expected to identify data not formatted according to the applicable vocabulary standard as an error.</w:t>
      </w:r>
    </w:p>
    <w:p w:rsidR="00362E3C" w:rsidRDefault="00362E3C" w:rsidP="00362E3C"/>
    <w:p w:rsidR="00DC0225" w:rsidRDefault="00DC0225" w:rsidP="00362E3C"/>
    <w:p w:rsidR="00DC0225" w:rsidRDefault="00DC0225" w:rsidP="00362E3C"/>
    <w:p w:rsidR="00DC0225" w:rsidRDefault="00DC0225" w:rsidP="00362E3C"/>
    <w:p w:rsidR="00DC0225" w:rsidRDefault="00DC0225" w:rsidP="00362E3C"/>
    <w:p w:rsidR="00DC0225" w:rsidRDefault="00DC0225" w:rsidP="00362E3C"/>
    <w:p w:rsidR="00DD40F3" w:rsidRDefault="00DD40F3" w:rsidP="00362E3C"/>
    <w:p w:rsidR="00DD40F3" w:rsidRDefault="00DD40F3" w:rsidP="00362E3C"/>
    <w:p w:rsidR="00DD40F3" w:rsidRDefault="00DD40F3" w:rsidP="00362E3C"/>
    <w:p w:rsidR="00DD40F3" w:rsidRDefault="00DD40F3" w:rsidP="00362E3C"/>
    <w:p w:rsidR="00DD40F3" w:rsidRDefault="00DD40F3" w:rsidP="00362E3C"/>
    <w:p w:rsidR="00DD40F3" w:rsidRDefault="00DD40F3" w:rsidP="00362E3C"/>
    <w:p w:rsidR="00DD40F3" w:rsidRDefault="00DD40F3" w:rsidP="00362E3C"/>
    <w:p w:rsidR="00DD40F3" w:rsidRDefault="00DD40F3" w:rsidP="00362E3C"/>
    <w:p w:rsidR="00DD40F3" w:rsidRDefault="00DD40F3" w:rsidP="00362E3C"/>
    <w:p w:rsidR="00DD40F3" w:rsidRDefault="00DD40F3" w:rsidP="00362E3C"/>
    <w:p w:rsidR="00DD40F3" w:rsidRDefault="00DD40F3" w:rsidP="00362E3C"/>
    <w:p w:rsidR="00DD40F3" w:rsidRDefault="00DD40F3" w:rsidP="00362E3C"/>
    <w:p w:rsidR="00DD40F3" w:rsidRDefault="00DD40F3" w:rsidP="00362E3C"/>
    <w:p w:rsidR="00DD40F3" w:rsidRDefault="00DD40F3" w:rsidP="00362E3C"/>
    <w:p w:rsidR="00DD40F3" w:rsidRDefault="00DD40F3" w:rsidP="00362E3C"/>
    <w:p w:rsidR="00DD40F3" w:rsidRDefault="00DD40F3" w:rsidP="00362E3C"/>
    <w:p w:rsidR="00DD40F3" w:rsidRDefault="00DD40F3" w:rsidP="00362E3C"/>
    <w:p w:rsidR="00DD40F3" w:rsidRDefault="00DD40F3" w:rsidP="00362E3C"/>
    <w:p w:rsidR="00DD40F3" w:rsidRDefault="00DD40F3" w:rsidP="00362E3C"/>
    <w:p w:rsidR="00DD40F3" w:rsidRDefault="00DD40F3" w:rsidP="00362E3C"/>
    <w:p w:rsidR="00DD40F3" w:rsidRDefault="00DD40F3" w:rsidP="00362E3C"/>
    <w:p w:rsidR="00DC0225" w:rsidRDefault="00DC0225" w:rsidP="00362E3C"/>
    <w:p w:rsidR="00DC0225" w:rsidRDefault="00DC0225" w:rsidP="00362E3C"/>
    <w:p w:rsidR="00DC0225" w:rsidRDefault="00DC0225" w:rsidP="00362E3C"/>
    <w:p w:rsidR="00362E3C" w:rsidRDefault="00362E3C" w:rsidP="00362E3C">
      <w:pPr>
        <w:pStyle w:val="Heading1"/>
      </w:pPr>
      <w:bookmarkStart w:id="9" w:name="_Appendix_B:_ONC"/>
      <w:bookmarkStart w:id="10" w:name="_Toc432066411"/>
      <w:bookmarkEnd w:id="9"/>
      <w:r w:rsidRPr="000B796D">
        <w:lastRenderedPageBreak/>
        <w:t>Appendix B: ONC Criteria and Standards</w:t>
      </w:r>
      <w:bookmarkEnd w:id="10"/>
    </w:p>
    <w:p w:rsidR="00362E3C" w:rsidRPr="00944A4C" w:rsidRDefault="00362E3C" w:rsidP="00362E3C">
      <w:pPr>
        <w:rPr>
          <w:i/>
        </w:rPr>
      </w:pPr>
      <w:r>
        <w:rPr>
          <w:i/>
        </w:rPr>
        <w:t xml:space="preserve">This appendix contains copy of the relevant ONC criteria and standards for this proctor sheet as a reference. In the event of a discrepancy with the ONC Final Rule, the ONC Final Rule takes precedence. </w:t>
      </w:r>
    </w:p>
    <w:p w:rsidR="00E46DD4" w:rsidRDefault="00B5776F" w:rsidP="000B796D">
      <w:pPr>
        <w:pStyle w:val="NormalWeb"/>
      </w:pPr>
      <w:r>
        <w:rPr>
          <w:b/>
        </w:rPr>
        <w:t>§170.315</w:t>
      </w:r>
      <w:r w:rsidR="004A367B">
        <w:rPr>
          <w:b/>
        </w:rPr>
        <w:t>(b</w:t>
      </w:r>
      <w:proofErr w:type="gramStart"/>
      <w:r w:rsidR="004A367B">
        <w:rPr>
          <w:b/>
        </w:rPr>
        <w:t>)(</w:t>
      </w:r>
      <w:proofErr w:type="gramEnd"/>
      <w:r w:rsidR="004A367B">
        <w:rPr>
          <w:b/>
        </w:rPr>
        <w:t>5)</w:t>
      </w:r>
      <w:r w:rsidR="000B796D" w:rsidRPr="003B369F">
        <w:rPr>
          <w:b/>
        </w:rPr>
        <w:t xml:space="preserve"> </w:t>
      </w:r>
      <w:r w:rsidR="000738B7">
        <w:rPr>
          <w:b/>
          <w:i/>
          <w:iCs/>
        </w:rPr>
        <w:t xml:space="preserve">Common Clinical Data summary record - </w:t>
      </w:r>
      <w:r w:rsidR="004A367B">
        <w:rPr>
          <w:b/>
          <w:i/>
          <w:iCs/>
        </w:rPr>
        <w:t>receive</w:t>
      </w:r>
      <w:r w:rsidR="000B796D" w:rsidRPr="003B369F">
        <w:rPr>
          <w:b/>
          <w:i/>
          <w:iCs/>
        </w:rPr>
        <w:t>.</w:t>
      </w:r>
      <w:r w:rsidR="000B796D">
        <w:t xml:space="preserve"> </w:t>
      </w:r>
    </w:p>
    <w:p w:rsidR="000738B7" w:rsidRDefault="000738B7" w:rsidP="00E46DD4">
      <w:pPr>
        <w:pStyle w:val="NormalWeb"/>
        <w:numPr>
          <w:ilvl w:val="0"/>
          <w:numId w:val="31"/>
        </w:numPr>
      </w:pPr>
      <w:r>
        <w:t xml:space="preserve">Enable a user to </w:t>
      </w:r>
      <w:r w:rsidR="00E46DD4">
        <w:t>receive</w:t>
      </w:r>
      <w:r>
        <w:t xml:space="preserve"> a transition of care/referral summary formatted in accordance with the standards specified in § 170.205(a)(4) using the Continuity of Care Document, Referral Note, and (for inpatient setting only) Discharge Summary document templates that includes at a minimum: </w:t>
      </w:r>
    </w:p>
    <w:p w:rsidR="000738B7" w:rsidRDefault="000738B7" w:rsidP="001A061A">
      <w:pPr>
        <w:pStyle w:val="NormalWeb"/>
        <w:numPr>
          <w:ilvl w:val="0"/>
          <w:numId w:val="32"/>
        </w:numPr>
        <w:spacing w:before="0" w:beforeAutospacing="0" w:after="0" w:afterAutospacing="0"/>
        <w:ind w:left="1440"/>
      </w:pPr>
      <w:r>
        <w:t xml:space="preserve">The Common Clinical Data Set. </w:t>
      </w:r>
    </w:p>
    <w:p w:rsidR="000738B7" w:rsidRDefault="000738B7" w:rsidP="001A061A">
      <w:pPr>
        <w:pStyle w:val="NormalWeb"/>
        <w:numPr>
          <w:ilvl w:val="0"/>
          <w:numId w:val="32"/>
        </w:numPr>
        <w:spacing w:before="0" w:beforeAutospacing="0" w:after="0" w:afterAutospacing="0"/>
        <w:ind w:left="1440"/>
      </w:pPr>
      <w:r>
        <w:t xml:space="preserve">Encounter diagnoses. Formatted according to at least one of the following standards: </w:t>
      </w:r>
    </w:p>
    <w:p w:rsidR="0004508B" w:rsidRDefault="0004508B" w:rsidP="001A061A">
      <w:pPr>
        <w:pStyle w:val="NormalWeb"/>
        <w:spacing w:before="0" w:beforeAutospacing="0" w:after="0" w:afterAutospacing="0"/>
        <w:ind w:left="1800"/>
      </w:pPr>
      <w:r>
        <w:t xml:space="preserve">(1) </w:t>
      </w:r>
      <w:r w:rsidR="000738B7">
        <w:t>The standard specified in §</w:t>
      </w:r>
      <w:r>
        <w:t xml:space="preserve"> 170.207(</w:t>
      </w:r>
      <w:proofErr w:type="spellStart"/>
      <w:r>
        <w:t>i</w:t>
      </w:r>
      <w:proofErr w:type="spellEnd"/>
      <w:r>
        <w:t>).</w:t>
      </w:r>
    </w:p>
    <w:p w:rsidR="000738B7" w:rsidRDefault="0004508B" w:rsidP="001A061A">
      <w:pPr>
        <w:pStyle w:val="NormalWeb"/>
        <w:spacing w:before="0" w:beforeAutospacing="0" w:after="0" w:afterAutospacing="0"/>
        <w:ind w:left="1800"/>
      </w:pPr>
      <w:r>
        <w:t>(2)  At a</w:t>
      </w:r>
      <w:r w:rsidR="000738B7">
        <w:t xml:space="preserve"> minimum, the version</w:t>
      </w:r>
      <w:r>
        <w:t xml:space="preserve"> of the standard specified in § </w:t>
      </w:r>
      <w:r w:rsidR="000738B7">
        <w:t>170.207(a</w:t>
      </w:r>
      <w:proofErr w:type="gramStart"/>
      <w:r w:rsidR="000738B7">
        <w:t>)(</w:t>
      </w:r>
      <w:proofErr w:type="gramEnd"/>
      <w:r w:rsidR="000738B7">
        <w:t xml:space="preserve">4). </w:t>
      </w:r>
    </w:p>
    <w:p w:rsidR="000738B7" w:rsidRDefault="000738B7" w:rsidP="001A061A">
      <w:pPr>
        <w:pStyle w:val="NormalWeb"/>
        <w:numPr>
          <w:ilvl w:val="0"/>
          <w:numId w:val="32"/>
        </w:numPr>
        <w:spacing w:before="0" w:beforeAutospacing="0" w:after="0" w:afterAutospacing="0"/>
        <w:ind w:left="1440"/>
      </w:pPr>
      <w:r>
        <w:t xml:space="preserve">Cognitive status. </w:t>
      </w:r>
    </w:p>
    <w:p w:rsidR="000738B7" w:rsidRDefault="000738B7" w:rsidP="001A061A">
      <w:pPr>
        <w:pStyle w:val="NormalWeb"/>
        <w:numPr>
          <w:ilvl w:val="0"/>
          <w:numId w:val="32"/>
        </w:numPr>
        <w:ind w:left="1440"/>
      </w:pPr>
      <w:r>
        <w:t xml:space="preserve">Functional status. </w:t>
      </w:r>
    </w:p>
    <w:p w:rsidR="000738B7" w:rsidRDefault="000738B7" w:rsidP="001A061A">
      <w:pPr>
        <w:pStyle w:val="NormalWeb"/>
        <w:numPr>
          <w:ilvl w:val="0"/>
          <w:numId w:val="32"/>
        </w:numPr>
        <w:ind w:left="1440"/>
      </w:pPr>
      <w:r>
        <w:t xml:space="preserve">Ambulatory setting only. The reason for referral; and referring or transitioning provider's name and office contact information </w:t>
      </w:r>
    </w:p>
    <w:p w:rsidR="000738B7" w:rsidRDefault="000738B7" w:rsidP="001A061A">
      <w:pPr>
        <w:pStyle w:val="NormalWeb"/>
        <w:numPr>
          <w:ilvl w:val="0"/>
          <w:numId w:val="32"/>
        </w:numPr>
        <w:ind w:left="1440"/>
      </w:pPr>
      <w:r>
        <w:t xml:space="preserve">Inpatient setting only. Discharge instructions. </w:t>
      </w:r>
    </w:p>
    <w:p w:rsidR="001A061A" w:rsidRDefault="001A061A" w:rsidP="001A061A">
      <w:pPr>
        <w:pStyle w:val="NormalWeb"/>
        <w:numPr>
          <w:ilvl w:val="0"/>
          <w:numId w:val="32"/>
        </w:numPr>
        <w:ind w:left="1440"/>
      </w:pPr>
      <w:r>
        <w:t>Validate and Display</w:t>
      </w:r>
    </w:p>
    <w:p w:rsidR="0055172B" w:rsidRDefault="001A061A" w:rsidP="001A061A">
      <w:pPr>
        <w:pStyle w:val="NormalWeb"/>
        <w:numPr>
          <w:ilvl w:val="0"/>
          <w:numId w:val="31"/>
        </w:numPr>
      </w:pPr>
      <w:r>
        <w:t>Validate and Display</w:t>
      </w:r>
      <w:r w:rsidR="0055172B">
        <w:t xml:space="preserve"> - Demonstrate the functionalities for the document received in accordance with paragraph (b)(5)(</w:t>
      </w:r>
      <w:proofErr w:type="spellStart"/>
      <w:r w:rsidR="0055172B">
        <w:t>i</w:t>
      </w:r>
      <w:proofErr w:type="spellEnd"/>
      <w:r w:rsidR="0055172B">
        <w:t xml:space="preserve">) of this section: </w:t>
      </w:r>
    </w:p>
    <w:p w:rsidR="0055172B" w:rsidRDefault="0055172B" w:rsidP="0055172B">
      <w:pPr>
        <w:pStyle w:val="NormalWeb"/>
        <w:spacing w:before="0" w:beforeAutospacing="0" w:after="0" w:afterAutospacing="0"/>
        <w:ind w:left="1080"/>
      </w:pPr>
      <w:r>
        <w:t xml:space="preserve">(A) Validate C-CDA conformance – system performance. Detect valid and invalid transition of care/referral summaries including the ability to: </w:t>
      </w:r>
    </w:p>
    <w:p w:rsidR="0055172B" w:rsidRDefault="0055172B" w:rsidP="00CC5BA5">
      <w:pPr>
        <w:pStyle w:val="NormalWeb"/>
        <w:spacing w:before="0" w:beforeAutospacing="0" w:after="0" w:afterAutospacing="0"/>
        <w:ind w:left="1440"/>
      </w:pPr>
      <w:r>
        <w:t>(1) Parse each of the document types formatted according to the following document templates: Continuity of Care Document, Referral Note, and (inpatient setting only) Discharge Summary.</w:t>
      </w:r>
    </w:p>
    <w:p w:rsidR="0055172B" w:rsidRDefault="0055172B" w:rsidP="00CC5BA5">
      <w:pPr>
        <w:pStyle w:val="NormalWeb"/>
        <w:spacing w:before="0" w:beforeAutospacing="0" w:after="0" w:afterAutospacing="0"/>
        <w:ind w:left="1440"/>
      </w:pPr>
      <w:r>
        <w:t>(2) Detect errors in corresponding “document-templates,” “section-templates,” and “entry-templates,” including invalid vocabulary standards and codes not specified in the standards adopted in § 170.205(a</w:t>
      </w:r>
      <w:proofErr w:type="gramStart"/>
      <w:r>
        <w:t>)(</w:t>
      </w:r>
      <w:proofErr w:type="gramEnd"/>
      <w:r>
        <w:t>3) and § 170.205(a)(4).</w:t>
      </w:r>
    </w:p>
    <w:p w:rsidR="0055172B" w:rsidRDefault="0055172B" w:rsidP="00CC5BA5">
      <w:pPr>
        <w:pStyle w:val="NormalWeb"/>
        <w:spacing w:before="0" w:beforeAutospacing="0" w:after="0" w:afterAutospacing="0"/>
        <w:ind w:left="1440"/>
      </w:pPr>
      <w:r>
        <w:t>(3) Identify valid document-templates and process the data elements required in the corresponding section-templates and entry-templates from the standards adopted in § 170.205(a</w:t>
      </w:r>
      <w:proofErr w:type="gramStart"/>
      <w:r>
        <w:t>)(</w:t>
      </w:r>
      <w:proofErr w:type="gramEnd"/>
      <w:r>
        <w:t>3) and § 170.205(a)(4).</w:t>
      </w:r>
    </w:p>
    <w:p w:rsidR="0055172B" w:rsidRDefault="0055172B" w:rsidP="00CC5BA5">
      <w:pPr>
        <w:pStyle w:val="NormalWeb"/>
        <w:spacing w:before="0" w:beforeAutospacing="0" w:after="0" w:afterAutospacing="0"/>
        <w:ind w:left="1440"/>
      </w:pPr>
      <w:r>
        <w:t xml:space="preserve">(4) Correctly interpret empty sections and null combinations; and </w:t>
      </w:r>
    </w:p>
    <w:p w:rsidR="00CC5BA5" w:rsidRDefault="0055172B" w:rsidP="00CC5BA5">
      <w:pPr>
        <w:pStyle w:val="NormalWeb"/>
        <w:spacing w:before="0" w:beforeAutospacing="0" w:after="0" w:afterAutospacing="0"/>
        <w:ind w:left="1440"/>
      </w:pPr>
      <w:r>
        <w:lastRenderedPageBreak/>
        <w:t>(5) Record errors encountered and allow a user through at least one of the following ways to: (</w:t>
      </w:r>
      <w:proofErr w:type="spellStart"/>
      <w:r>
        <w:t>i</w:t>
      </w:r>
      <w:proofErr w:type="spellEnd"/>
      <w:r>
        <w:t xml:space="preserve">) </w:t>
      </w:r>
      <w:proofErr w:type="gramStart"/>
      <w:r>
        <w:t>Be</w:t>
      </w:r>
      <w:proofErr w:type="gramEnd"/>
      <w:r>
        <w:t xml:space="preserve"> notified of the errors produced. (ii) Review the errors produced. </w:t>
      </w:r>
    </w:p>
    <w:p w:rsidR="00CC5BA5" w:rsidRDefault="0055172B" w:rsidP="0055172B">
      <w:pPr>
        <w:pStyle w:val="NormalWeb"/>
        <w:spacing w:before="0" w:beforeAutospacing="0" w:after="0" w:afterAutospacing="0"/>
        <w:ind w:left="1080"/>
      </w:pPr>
      <w:r>
        <w:t>(B) Display. Display in human readable format the data included in transition of care/referral summaries received and formatted according to the standards specified in § 170.205(a</w:t>
      </w:r>
      <w:proofErr w:type="gramStart"/>
      <w:r>
        <w:t>)(</w:t>
      </w:r>
      <w:proofErr w:type="gramEnd"/>
      <w:r>
        <w:t xml:space="preserve">3) and § 170.205(a)(4). </w:t>
      </w:r>
    </w:p>
    <w:p w:rsidR="00CC5BA5" w:rsidRDefault="0055172B" w:rsidP="0055172B">
      <w:pPr>
        <w:pStyle w:val="NormalWeb"/>
        <w:spacing w:before="0" w:beforeAutospacing="0" w:after="0" w:afterAutospacing="0"/>
        <w:ind w:left="1080"/>
      </w:pPr>
      <w:r>
        <w:t xml:space="preserve">(C) Display section views. Allow for the individual display of each section (and the accompanying document header information) that is included in a transition of care/referral summary received and formatted in accordance with the standards adopted in § 170.205(a)(3) and § 170.205(a)(4) in a manner that enables the user to: </w:t>
      </w:r>
    </w:p>
    <w:p w:rsidR="00CC5BA5" w:rsidRDefault="0055172B" w:rsidP="00CC5BA5">
      <w:pPr>
        <w:pStyle w:val="NormalWeb"/>
        <w:spacing w:before="0" w:beforeAutospacing="0" w:after="0" w:afterAutospacing="0"/>
        <w:ind w:left="1440"/>
      </w:pPr>
      <w:r>
        <w:t xml:space="preserve">(1) Directly display only the data within a particular section; </w:t>
      </w:r>
    </w:p>
    <w:p w:rsidR="00CC5BA5" w:rsidRDefault="0055172B" w:rsidP="00CC5BA5">
      <w:pPr>
        <w:pStyle w:val="NormalWeb"/>
        <w:spacing w:before="0" w:beforeAutospacing="0" w:after="0" w:afterAutospacing="0"/>
        <w:ind w:left="1440"/>
      </w:pPr>
      <w:r>
        <w:t xml:space="preserve">(2) Set a preference for the display order of specific sections; and </w:t>
      </w:r>
    </w:p>
    <w:p w:rsidR="001A061A" w:rsidRDefault="0055172B" w:rsidP="00CC5BA5">
      <w:pPr>
        <w:pStyle w:val="NormalWeb"/>
        <w:spacing w:before="0" w:beforeAutospacing="0" w:after="0" w:afterAutospacing="0"/>
        <w:ind w:left="1440"/>
      </w:pPr>
      <w:r>
        <w:t>(3) Set the initial quantity of sections to be displayed.</w:t>
      </w:r>
    </w:p>
    <w:p w:rsidR="000B796D" w:rsidRDefault="000B796D" w:rsidP="000B796D">
      <w:pPr>
        <w:pStyle w:val="ListParagraph"/>
        <w:ind w:left="1440"/>
      </w:pPr>
    </w:p>
    <w:p w:rsidR="000B796D" w:rsidRDefault="000B796D" w:rsidP="000B796D">
      <w:pPr>
        <w:outlineLvl w:val="3"/>
        <w:rPr>
          <w:b/>
        </w:rPr>
      </w:pPr>
      <w:r w:rsidRPr="00BE51CC">
        <w:rPr>
          <w:b/>
        </w:rPr>
        <w:t xml:space="preserve">§170.102 </w:t>
      </w:r>
      <w:r w:rsidRPr="00BE51CC">
        <w:rPr>
          <w:rFonts w:ascii="TimesNewRoman,Bold" w:hAnsi="TimesNewRoman,Bold" w:cs="TimesNewRoman,Bold"/>
          <w:b/>
          <w:bCs/>
        </w:rPr>
        <w:t>–</w:t>
      </w:r>
      <w:r w:rsidRPr="00BE51CC">
        <w:rPr>
          <w:b/>
        </w:rPr>
        <w:t xml:space="preserve"> Definitions</w:t>
      </w:r>
    </w:p>
    <w:p w:rsidR="000B796D" w:rsidRDefault="000B796D" w:rsidP="000B796D">
      <w:pPr>
        <w:outlineLvl w:val="3"/>
      </w:pPr>
      <w:r w:rsidRPr="00BE51CC">
        <w:rPr>
          <w:b/>
          <w:i/>
          <w:iCs/>
        </w:rPr>
        <w:t>Common Clinical Data Set</w:t>
      </w:r>
      <w:r>
        <w:t xml:space="preserve"> means the following data expressed, where indicated, according to the specified standard(s):</w:t>
      </w:r>
    </w:p>
    <w:p w:rsidR="000B796D" w:rsidRDefault="000B796D" w:rsidP="000B796D">
      <w:pPr>
        <w:pStyle w:val="NormalWeb"/>
      </w:pPr>
      <w:r>
        <w:t xml:space="preserve">(1) </w:t>
      </w:r>
      <w:r>
        <w:rPr>
          <w:i/>
          <w:iCs/>
        </w:rPr>
        <w:t>Patient name.</w:t>
      </w:r>
      <w:r>
        <w:t xml:space="preserve"> </w:t>
      </w:r>
    </w:p>
    <w:p w:rsidR="000B796D" w:rsidRDefault="000B796D" w:rsidP="000B796D">
      <w:pPr>
        <w:pStyle w:val="NormalWeb"/>
      </w:pPr>
      <w:r>
        <w:t xml:space="preserve">(2) </w:t>
      </w:r>
      <w:r>
        <w:rPr>
          <w:i/>
          <w:iCs/>
        </w:rPr>
        <w:t>Sex.</w:t>
      </w:r>
      <w:r>
        <w:t xml:space="preserve"> (ii) The standard specified in § 170.207(n</w:t>
      </w:r>
      <w:proofErr w:type="gramStart"/>
      <w:r>
        <w:t>)(</w:t>
      </w:r>
      <w:proofErr w:type="gramEnd"/>
      <w:r>
        <w:t>1).</w:t>
      </w:r>
    </w:p>
    <w:p w:rsidR="000B796D" w:rsidRDefault="000B796D" w:rsidP="000B796D">
      <w:pPr>
        <w:pStyle w:val="NormalWeb"/>
      </w:pPr>
      <w:r>
        <w:t xml:space="preserve">(3) </w:t>
      </w:r>
      <w:r>
        <w:rPr>
          <w:i/>
          <w:iCs/>
        </w:rPr>
        <w:t>Date of birth.</w:t>
      </w:r>
      <w:r>
        <w:t xml:space="preserve"> </w:t>
      </w:r>
    </w:p>
    <w:p w:rsidR="000B796D" w:rsidRDefault="000B796D" w:rsidP="000B796D">
      <w:pPr>
        <w:pStyle w:val="NormalWeb"/>
      </w:pPr>
      <w:r>
        <w:t xml:space="preserve">(4) </w:t>
      </w:r>
      <w:r>
        <w:rPr>
          <w:i/>
          <w:iCs/>
        </w:rPr>
        <w:t>Race.</w:t>
      </w:r>
      <w:r>
        <w:t xml:space="preserve"> (ii) For certification to the 2015 Edition health IT certification criteria:</w:t>
      </w:r>
    </w:p>
    <w:p w:rsidR="000B796D" w:rsidRDefault="000B796D" w:rsidP="000B796D">
      <w:pPr>
        <w:pStyle w:val="NormalWeb"/>
      </w:pPr>
      <w:r>
        <w:t>(A) The standard specified in § 170.207(f</w:t>
      </w:r>
      <w:proofErr w:type="gramStart"/>
      <w:r>
        <w:t>)(</w:t>
      </w:r>
      <w:proofErr w:type="gramEnd"/>
      <w:r>
        <w:t>2);</w:t>
      </w:r>
    </w:p>
    <w:p w:rsidR="000B796D" w:rsidRDefault="000B796D" w:rsidP="000B796D">
      <w:pPr>
        <w:pStyle w:val="NormalWeb"/>
      </w:pPr>
      <w:r>
        <w:t>(B) The standard specified in § 170.207(f</w:t>
      </w:r>
      <w:proofErr w:type="gramStart"/>
      <w:r>
        <w:t>)(</w:t>
      </w:r>
      <w:proofErr w:type="gramEnd"/>
      <w:r>
        <w:t>1) for each race identified in accordance § 170.207(f)(2).</w:t>
      </w:r>
    </w:p>
    <w:p w:rsidR="000B796D" w:rsidRDefault="000B796D" w:rsidP="000B796D">
      <w:pPr>
        <w:pStyle w:val="NormalWeb"/>
      </w:pPr>
      <w:r>
        <w:t xml:space="preserve">(5) </w:t>
      </w:r>
      <w:r>
        <w:rPr>
          <w:i/>
          <w:iCs/>
        </w:rPr>
        <w:t>Ethnicity.</w:t>
      </w:r>
      <w:r>
        <w:t xml:space="preserve"> (ii) For certification to the 2015 Edition health IT certification criteria:</w:t>
      </w:r>
    </w:p>
    <w:p w:rsidR="000B796D" w:rsidRDefault="000B796D" w:rsidP="000B796D">
      <w:pPr>
        <w:pStyle w:val="NormalWeb"/>
      </w:pPr>
      <w:r>
        <w:t>(A) The standard specified in § 170.207(f</w:t>
      </w:r>
      <w:proofErr w:type="gramStart"/>
      <w:r>
        <w:t>)(</w:t>
      </w:r>
      <w:proofErr w:type="gramEnd"/>
      <w:r>
        <w:t>2);</w:t>
      </w:r>
    </w:p>
    <w:p w:rsidR="000B796D" w:rsidRDefault="000B796D" w:rsidP="000B796D">
      <w:pPr>
        <w:pStyle w:val="NormalWeb"/>
      </w:pPr>
      <w:r>
        <w:t>(B) The standard specified in § 170.207(f</w:t>
      </w:r>
      <w:proofErr w:type="gramStart"/>
      <w:r>
        <w:t>)(</w:t>
      </w:r>
      <w:proofErr w:type="gramEnd"/>
      <w:r>
        <w:t>1) for each ethnicity identified in accordance § 170.207(f)(2).</w:t>
      </w:r>
    </w:p>
    <w:p w:rsidR="000B796D" w:rsidRDefault="000B796D" w:rsidP="000B796D">
      <w:pPr>
        <w:pStyle w:val="NormalWeb"/>
      </w:pPr>
      <w:r>
        <w:t xml:space="preserve">(6) </w:t>
      </w:r>
      <w:r>
        <w:rPr>
          <w:i/>
          <w:iCs/>
        </w:rPr>
        <w:t>Preferred language.</w:t>
      </w:r>
      <w:r>
        <w:t xml:space="preserve"> (ii) The standard specified in § 170.207(g</w:t>
      </w:r>
      <w:proofErr w:type="gramStart"/>
      <w:r>
        <w:t>)(</w:t>
      </w:r>
      <w:proofErr w:type="gramEnd"/>
      <w:r>
        <w:t>2).</w:t>
      </w:r>
    </w:p>
    <w:p w:rsidR="000B796D" w:rsidRDefault="000B796D" w:rsidP="000B796D">
      <w:pPr>
        <w:pStyle w:val="NormalWeb"/>
      </w:pPr>
      <w:r>
        <w:t xml:space="preserve">(7) </w:t>
      </w:r>
      <w:r>
        <w:rPr>
          <w:i/>
          <w:iCs/>
        </w:rPr>
        <w:t>Smoking status.</w:t>
      </w:r>
      <w:r>
        <w:t xml:space="preserve"> The standard specified in § 170.207(h).</w:t>
      </w:r>
    </w:p>
    <w:p w:rsidR="000B796D" w:rsidRDefault="000B796D" w:rsidP="000B796D">
      <w:pPr>
        <w:pStyle w:val="NormalWeb"/>
      </w:pPr>
      <w:r>
        <w:lastRenderedPageBreak/>
        <w:t xml:space="preserve">(8) </w:t>
      </w:r>
      <w:r>
        <w:rPr>
          <w:i/>
          <w:iCs/>
        </w:rPr>
        <w:t>Problems.</w:t>
      </w:r>
      <w:r>
        <w:t xml:space="preserve"> (ii) At a minimum, the standard specified in § 170.207(a</w:t>
      </w:r>
      <w:proofErr w:type="gramStart"/>
      <w:r>
        <w:t>)(</w:t>
      </w:r>
      <w:proofErr w:type="gramEnd"/>
      <w:r>
        <w:t xml:space="preserve">4). </w:t>
      </w:r>
    </w:p>
    <w:p w:rsidR="000B796D" w:rsidRDefault="000B796D" w:rsidP="000B796D">
      <w:pPr>
        <w:pStyle w:val="NormalWeb"/>
      </w:pPr>
      <w:r>
        <w:t xml:space="preserve">(9) </w:t>
      </w:r>
      <w:r>
        <w:rPr>
          <w:i/>
          <w:iCs/>
        </w:rPr>
        <w:t>Medications.</w:t>
      </w:r>
      <w:r>
        <w:t xml:space="preserve"> (ii) At a minimum, the standard specified in § 170.207(d</w:t>
      </w:r>
      <w:proofErr w:type="gramStart"/>
      <w:r>
        <w:t>)(</w:t>
      </w:r>
      <w:proofErr w:type="gramEnd"/>
      <w:r>
        <w:t xml:space="preserve">3). </w:t>
      </w:r>
    </w:p>
    <w:p w:rsidR="000B796D" w:rsidRDefault="000B796D" w:rsidP="000B796D">
      <w:pPr>
        <w:pStyle w:val="NormalWeb"/>
      </w:pPr>
      <w:r>
        <w:t xml:space="preserve">(10) </w:t>
      </w:r>
      <w:r>
        <w:rPr>
          <w:i/>
          <w:iCs/>
        </w:rPr>
        <w:t>Medication allergies.</w:t>
      </w:r>
      <w:r>
        <w:t xml:space="preserve"> (ii) At a minimum, the standard specified in § 170.207(d</w:t>
      </w:r>
      <w:proofErr w:type="gramStart"/>
      <w:r>
        <w:t>)(</w:t>
      </w:r>
      <w:proofErr w:type="gramEnd"/>
      <w:r>
        <w:t>3).</w:t>
      </w:r>
    </w:p>
    <w:p w:rsidR="000B796D" w:rsidRDefault="000B796D" w:rsidP="000B796D">
      <w:pPr>
        <w:pStyle w:val="NormalWeb"/>
      </w:pPr>
      <w:r>
        <w:t xml:space="preserve">(11) </w:t>
      </w:r>
      <w:r>
        <w:rPr>
          <w:i/>
          <w:iCs/>
        </w:rPr>
        <w:t>Laboratory test(s).</w:t>
      </w:r>
      <w:r>
        <w:t xml:space="preserve"> (ii) At a minimum, the standard specified in § 170.207(c</w:t>
      </w:r>
      <w:proofErr w:type="gramStart"/>
      <w:r>
        <w:t>)(</w:t>
      </w:r>
      <w:proofErr w:type="gramEnd"/>
      <w:r>
        <w:t>3).</w:t>
      </w:r>
    </w:p>
    <w:p w:rsidR="000B796D" w:rsidRDefault="000B796D" w:rsidP="000B796D">
      <w:pPr>
        <w:pStyle w:val="NormalWeb"/>
      </w:pPr>
      <w:r>
        <w:t xml:space="preserve">(12) </w:t>
      </w:r>
      <w:r>
        <w:rPr>
          <w:i/>
          <w:iCs/>
        </w:rPr>
        <w:t>Laboratory value(s)/result(s).</w:t>
      </w:r>
      <w:r>
        <w:t xml:space="preserve"> </w:t>
      </w:r>
    </w:p>
    <w:p w:rsidR="000B796D" w:rsidRDefault="000B796D" w:rsidP="000B796D">
      <w:pPr>
        <w:pStyle w:val="NormalWeb"/>
      </w:pPr>
      <w:r>
        <w:t xml:space="preserve">(13) </w:t>
      </w:r>
      <w:r>
        <w:rPr>
          <w:i/>
          <w:iCs/>
        </w:rPr>
        <w:t>Vital signs.</w:t>
      </w:r>
      <w:r>
        <w:t xml:space="preserve"> (ii) For certification to the 2015 Edition Health IT certification criteria:</w:t>
      </w:r>
    </w:p>
    <w:p w:rsidR="000B796D" w:rsidRDefault="000B796D" w:rsidP="000B796D">
      <w:pPr>
        <w:pStyle w:val="NormalWeb"/>
      </w:pPr>
      <w:r>
        <w:t>(A) The patient's diastolic blood pressure, systolic blood pressure, body height, body weight, heart rate, respiratory rate, body temperature, pulse oximetry, and inhaled oxygen concentration must be exchanged in numerical values only; and</w:t>
      </w:r>
    </w:p>
    <w:p w:rsidR="000B796D" w:rsidRDefault="000B796D" w:rsidP="000B796D">
      <w:pPr>
        <w:pStyle w:val="NormalWeb"/>
      </w:pPr>
      <w:r>
        <w:t>(B) In accordance with the standard specified in § 170.207(c</w:t>
      </w:r>
      <w:proofErr w:type="gramStart"/>
      <w:r>
        <w:t>)(</w:t>
      </w:r>
      <w:proofErr w:type="gramEnd"/>
      <w:r>
        <w:t>3) and with the associated applicable unit of measure for the vital sign measurement in the standard specified in § 170.207(m)(1).</w:t>
      </w:r>
    </w:p>
    <w:p w:rsidR="000B796D" w:rsidRDefault="000B796D" w:rsidP="000B796D">
      <w:pPr>
        <w:pStyle w:val="NormalWeb"/>
      </w:pPr>
      <w:r>
        <w:t xml:space="preserve">(C) </w:t>
      </w:r>
      <w:r>
        <w:rPr>
          <w:i/>
          <w:iCs/>
        </w:rPr>
        <w:t>Optional.</w:t>
      </w:r>
      <w:r>
        <w:t xml:space="preserve"> The patient's BMI percentile per age and sex for youth 2-20 years of age, weight for age per length and sex for children less than 3 years of age, and head occipital-frontal circumference for children less than 3 years of age must be recorded in numerical values only in accordance with the standard specified in § 170.207(c</w:t>
      </w:r>
      <w:proofErr w:type="gramStart"/>
      <w:r>
        <w:t>)(</w:t>
      </w:r>
      <w:proofErr w:type="gramEnd"/>
      <w:r>
        <w:t>3) and with the associated applicable unit of measure for the vital sign measurement in the standard specified in § 170.207(m)(1). For BMI percentile per age and sex for youth 2-20 years of age and weight for age per length and sex for children less than 3 years of age, the reference range/scale or growth curve should be included as appropriate.</w:t>
      </w:r>
    </w:p>
    <w:p w:rsidR="000B796D" w:rsidRDefault="000B796D" w:rsidP="000B796D">
      <w:pPr>
        <w:pStyle w:val="NormalWeb"/>
      </w:pPr>
      <w:r>
        <w:t xml:space="preserve">(15) </w:t>
      </w:r>
      <w:r>
        <w:rPr>
          <w:i/>
          <w:iCs/>
        </w:rPr>
        <w:t>Procedures</w:t>
      </w:r>
      <w:r>
        <w:t>—(</w:t>
      </w:r>
      <w:proofErr w:type="spellStart"/>
      <w:r>
        <w:t>i</w:t>
      </w:r>
      <w:proofErr w:type="spellEnd"/>
      <w:proofErr w:type="gramStart"/>
      <w:r>
        <w:t>)(</w:t>
      </w:r>
      <w:proofErr w:type="gramEnd"/>
      <w:r>
        <w:t>A) At a minimum, the version of the standard specified in § 170.207(a)(4), or § 170.207(b)(2); or</w:t>
      </w:r>
    </w:p>
    <w:p w:rsidR="000B796D" w:rsidRDefault="000B796D" w:rsidP="000B796D">
      <w:pPr>
        <w:pStyle w:val="NormalWeb"/>
      </w:pPr>
      <w:r>
        <w:t>(B) For technology primarily developed to record dental procedures, the standard specified in § 170.207(b</w:t>
      </w:r>
      <w:proofErr w:type="gramStart"/>
      <w:r>
        <w:t>)(</w:t>
      </w:r>
      <w:proofErr w:type="gramEnd"/>
      <w:r>
        <w:t>3).</w:t>
      </w:r>
    </w:p>
    <w:p w:rsidR="000B796D" w:rsidRDefault="000B796D" w:rsidP="000B796D">
      <w:pPr>
        <w:pStyle w:val="NormalWeb"/>
      </w:pPr>
      <w:r>
        <w:t xml:space="preserve">(ii) </w:t>
      </w:r>
      <w:r>
        <w:rPr>
          <w:i/>
          <w:iCs/>
        </w:rPr>
        <w:t>Optional.</w:t>
      </w:r>
      <w:r>
        <w:t xml:space="preserve"> The standard specified in § 170.207</w:t>
      </w:r>
      <w:r w:rsidR="004A367B">
        <w:t>(b</w:t>
      </w:r>
      <w:proofErr w:type="gramStart"/>
      <w:r w:rsidR="004A367B">
        <w:t>)(</w:t>
      </w:r>
      <w:proofErr w:type="gramEnd"/>
      <w:r w:rsidR="004A367B">
        <w:t>5)</w:t>
      </w:r>
      <w:r>
        <w:t>.</w:t>
      </w:r>
    </w:p>
    <w:p w:rsidR="000B796D" w:rsidRDefault="000B796D" w:rsidP="000B796D">
      <w:pPr>
        <w:pStyle w:val="NormalWeb"/>
      </w:pPr>
      <w:r>
        <w:t xml:space="preserve">(16) </w:t>
      </w:r>
      <w:r>
        <w:rPr>
          <w:i/>
          <w:iCs/>
        </w:rPr>
        <w:t>Care team member(s).</w:t>
      </w:r>
      <w:r>
        <w:t xml:space="preserve"> </w:t>
      </w:r>
    </w:p>
    <w:p w:rsidR="000B796D" w:rsidRDefault="000B796D" w:rsidP="000B796D">
      <w:pPr>
        <w:pStyle w:val="NormalWeb"/>
      </w:pPr>
      <w:r>
        <w:t xml:space="preserve">(17) </w:t>
      </w:r>
      <w:r>
        <w:rPr>
          <w:i/>
          <w:iCs/>
        </w:rPr>
        <w:t>Immunizations.</w:t>
      </w:r>
      <w:r>
        <w:t xml:space="preserve"> In accordance with, at a minimum, the standards specified in § 170.207(e</w:t>
      </w:r>
      <w:proofErr w:type="gramStart"/>
      <w:r>
        <w:t>)(</w:t>
      </w:r>
      <w:proofErr w:type="gramEnd"/>
      <w:r>
        <w:t>3) and (4).</w:t>
      </w:r>
    </w:p>
    <w:p w:rsidR="000B796D" w:rsidRDefault="000B796D" w:rsidP="000B796D">
      <w:pPr>
        <w:pStyle w:val="NormalWeb"/>
      </w:pPr>
      <w:r>
        <w:lastRenderedPageBreak/>
        <w:t xml:space="preserve">(18) </w:t>
      </w:r>
      <w:r>
        <w:rPr>
          <w:i/>
          <w:iCs/>
        </w:rPr>
        <w:t>Unique device identifier(s) for a patient's implantable device(s).</w:t>
      </w:r>
      <w:r>
        <w:t xml:space="preserve"> In accordance with the “Product Instance” in the “Procedure Activity Procedure Section” of the standard specified in § 170.205(a</w:t>
      </w:r>
      <w:proofErr w:type="gramStart"/>
      <w:r>
        <w:t>)(</w:t>
      </w:r>
      <w:proofErr w:type="gramEnd"/>
      <w:r>
        <w:t>4).</w:t>
      </w:r>
    </w:p>
    <w:p w:rsidR="000B796D" w:rsidRDefault="000B796D" w:rsidP="000B796D">
      <w:pPr>
        <w:pStyle w:val="NormalWeb"/>
      </w:pPr>
      <w:r>
        <w:t xml:space="preserve">(19) </w:t>
      </w:r>
      <w:r>
        <w:rPr>
          <w:i/>
          <w:iCs/>
        </w:rPr>
        <w:t>Assessment and plan of treatment.</w:t>
      </w:r>
      <w:r>
        <w:t xml:space="preserve"> (</w:t>
      </w:r>
      <w:proofErr w:type="spellStart"/>
      <w:r>
        <w:t>i</w:t>
      </w:r>
      <w:proofErr w:type="spellEnd"/>
      <w:r>
        <w:t>) In accordance with the “Assessment and Plan Section (V2)” of the standard specified in § 170.205(a</w:t>
      </w:r>
      <w:proofErr w:type="gramStart"/>
      <w:r>
        <w:t>)(</w:t>
      </w:r>
      <w:proofErr w:type="gramEnd"/>
      <w:r>
        <w:t>4); or</w:t>
      </w:r>
    </w:p>
    <w:p w:rsidR="000B796D" w:rsidRDefault="000B796D" w:rsidP="000B796D">
      <w:pPr>
        <w:pStyle w:val="NormalWeb"/>
      </w:pPr>
      <w:r>
        <w:t>(ii) In accordance with the “Assessment Section (V2)” and “Plan of Treatment Section (V2)” of the standard specified in § 170.205(a</w:t>
      </w:r>
      <w:proofErr w:type="gramStart"/>
      <w:r>
        <w:t>)(</w:t>
      </w:r>
      <w:proofErr w:type="gramEnd"/>
      <w:r>
        <w:t>4).</w:t>
      </w:r>
    </w:p>
    <w:p w:rsidR="000B796D" w:rsidRDefault="000B796D" w:rsidP="000B796D">
      <w:pPr>
        <w:pStyle w:val="NormalWeb"/>
      </w:pPr>
      <w:r>
        <w:t xml:space="preserve">(20) </w:t>
      </w:r>
      <w:r>
        <w:rPr>
          <w:i/>
          <w:iCs/>
        </w:rPr>
        <w:t>Goals.</w:t>
      </w:r>
      <w:r>
        <w:t xml:space="preserve"> In accordance with the “Goals Section” of the standard specified in § 170.205(a</w:t>
      </w:r>
      <w:proofErr w:type="gramStart"/>
      <w:r>
        <w:t>)(</w:t>
      </w:r>
      <w:proofErr w:type="gramEnd"/>
      <w:r>
        <w:t>4).</w:t>
      </w:r>
    </w:p>
    <w:p w:rsidR="000B796D" w:rsidRDefault="000B796D" w:rsidP="000B796D">
      <w:pPr>
        <w:pStyle w:val="NormalWeb"/>
      </w:pPr>
      <w:r>
        <w:t xml:space="preserve">(21) </w:t>
      </w:r>
      <w:r>
        <w:rPr>
          <w:i/>
          <w:iCs/>
        </w:rPr>
        <w:t>Health concerns.</w:t>
      </w:r>
      <w:r>
        <w:t xml:space="preserve"> In accordance with the “Health Concerns Section” of the standard specified in § 170.205(a</w:t>
      </w:r>
      <w:proofErr w:type="gramStart"/>
      <w:r>
        <w:t>)(</w:t>
      </w:r>
      <w:proofErr w:type="gramEnd"/>
      <w:r>
        <w:t>4).</w:t>
      </w:r>
    </w:p>
    <w:p w:rsidR="000B796D" w:rsidRPr="00A272C2" w:rsidRDefault="000B796D" w:rsidP="000B796D">
      <w:pPr>
        <w:rPr>
          <w:rFonts w:ascii="TimesNewRoman,Bold" w:hAnsi="TimesNewRoman,Bold" w:cs="TimesNewRoman,Bold"/>
          <w:b/>
          <w:bCs/>
          <w:color w:val="000000" w:themeColor="text1"/>
        </w:rPr>
      </w:pPr>
      <w:r w:rsidRPr="00E074CB">
        <w:rPr>
          <w:b/>
          <w:color w:val="000000" w:themeColor="text1"/>
        </w:rPr>
        <w:t>§170.205</w:t>
      </w:r>
      <w:r w:rsidRPr="00E074CB">
        <w:rPr>
          <w:rFonts w:ascii="TimesNewRoman,Bold" w:hAnsi="TimesNewRoman,Bold" w:cs="TimesNewRoman,Bold"/>
          <w:b/>
          <w:bCs/>
          <w:color w:val="000000" w:themeColor="text1"/>
        </w:rPr>
        <w:t xml:space="preserve"> Content Exchange Standards – Patient Summary Record.</w:t>
      </w:r>
    </w:p>
    <w:p w:rsidR="000B796D" w:rsidRPr="00E074CB" w:rsidRDefault="000B796D" w:rsidP="000B796D">
      <w:pPr>
        <w:rPr>
          <w:color w:val="000000" w:themeColor="text1"/>
        </w:rPr>
      </w:pPr>
      <w:r w:rsidRPr="00E074CB">
        <w:rPr>
          <w:rFonts w:ascii="TimesNewRoman" w:hAnsi="TimesNewRoman" w:cs="TimesNewRoman"/>
          <w:b/>
          <w:color w:val="000000" w:themeColor="text1"/>
        </w:rPr>
        <w:t xml:space="preserve">(a)(3) </w:t>
      </w:r>
      <w:r w:rsidRPr="00E074CB">
        <w:rPr>
          <w:rFonts w:ascii="TimesNewRoman" w:hAnsi="TimesNewRoman" w:cs="TimesNewRoman"/>
          <w:b/>
          <w:i/>
          <w:color w:val="000000" w:themeColor="text1"/>
        </w:rPr>
        <w:t>Standard.</w:t>
      </w:r>
      <w:r w:rsidRPr="00E074CB">
        <w:rPr>
          <w:rFonts w:ascii="TimesNewRoman" w:hAnsi="TimesNewRoman" w:cs="TimesNewRoman"/>
          <w:color w:val="000000" w:themeColor="text1"/>
        </w:rPr>
        <w:t xml:space="preserve"> HL7 Implementation Guide for CDA® Release 2: IHE Health Story Consolidation, DSTU Release 1.1 (US Realm) Draft Standard for Trial Use July 2012.</w:t>
      </w:r>
    </w:p>
    <w:p w:rsidR="000B796D" w:rsidRDefault="000B796D" w:rsidP="000B796D">
      <w:pPr>
        <w:rPr>
          <w:color w:val="000000" w:themeColor="text1"/>
        </w:rPr>
      </w:pPr>
      <w:r w:rsidRPr="00E074CB">
        <w:rPr>
          <w:b/>
          <w:color w:val="000000" w:themeColor="text1"/>
        </w:rPr>
        <w:t xml:space="preserve">(a)(4) </w:t>
      </w:r>
      <w:r w:rsidRPr="00E074CB">
        <w:rPr>
          <w:b/>
          <w:i/>
          <w:iCs/>
          <w:color w:val="000000" w:themeColor="text1"/>
        </w:rPr>
        <w:t>Standard.</w:t>
      </w:r>
      <w:r w:rsidRPr="00E074CB">
        <w:rPr>
          <w:color w:val="000000" w:themeColor="text1"/>
        </w:rPr>
        <w:t xml:space="preserve"> HL7 Implementation Guide for CDA® Release 2: Consolidated CDA Templates for Clinical Notes (US Realm), Draft Standard for Trial Use, Volume 1—Introductory Material, Release 2.1 and HL7 Implementation Guide for CDA® Release 2: Consolidated CDA Templates for Clinical Notes (US Realm), Draft Standard for Trial Use, Volume 2—Templates and Supporting Material, Release 2.1 (incorporated by reference in § 170.299).</w:t>
      </w:r>
    </w:p>
    <w:p w:rsidR="00667F31" w:rsidRPr="00E074CB" w:rsidRDefault="00667F31" w:rsidP="000B796D">
      <w:pPr>
        <w:rPr>
          <w:color w:val="000000" w:themeColor="text1"/>
        </w:rPr>
      </w:pPr>
    </w:p>
    <w:p w:rsidR="000B796D" w:rsidRPr="00667F31" w:rsidRDefault="000B796D" w:rsidP="00667F31">
      <w:pPr>
        <w:rPr>
          <w:b/>
        </w:rPr>
      </w:pPr>
      <w:r w:rsidRPr="00667F31">
        <w:rPr>
          <w:b/>
        </w:rPr>
        <w:t>§170.207   Vocabulary standards for representing electronic health information.</w:t>
      </w:r>
    </w:p>
    <w:p w:rsidR="000B796D" w:rsidRDefault="000B796D" w:rsidP="00667F31">
      <w:r w:rsidRPr="00A55F60">
        <w:rPr>
          <w:b/>
        </w:rPr>
        <w:t xml:space="preserve">(a)(4) </w:t>
      </w:r>
      <w:r w:rsidRPr="00A55F60">
        <w:rPr>
          <w:rFonts w:ascii="TimesNewRoman" w:hAnsi="TimesNewRoman" w:cs="TimesNewRoman"/>
          <w:b/>
          <w:i/>
        </w:rPr>
        <w:t>Standard</w:t>
      </w:r>
      <w:r w:rsidRPr="00A55F60">
        <w:rPr>
          <w:rFonts w:ascii="TimesNewRoman" w:hAnsi="TimesNewRoman" w:cs="TimesNewRoman"/>
          <w:b/>
        </w:rPr>
        <w:t>.</w:t>
      </w:r>
      <w:r w:rsidRPr="00B06B43">
        <w:rPr>
          <w:rFonts w:ascii="TimesNewRoman" w:hAnsi="TimesNewRoman" w:cs="TimesNewRoman"/>
        </w:rPr>
        <w:t xml:space="preserve"> </w:t>
      </w:r>
      <w:r w:rsidRPr="00EC333C">
        <w:t xml:space="preserve">IHTSDO SNOMED CT®, U.S. Edition, September </w:t>
      </w:r>
      <w:r>
        <w:t>2015</w:t>
      </w:r>
      <w:r w:rsidRPr="00EC333C">
        <w:t xml:space="preserve"> Release.</w:t>
      </w:r>
    </w:p>
    <w:p w:rsidR="000B796D" w:rsidRPr="00150564" w:rsidRDefault="000B796D" w:rsidP="00667F31">
      <w:r w:rsidRPr="00A55F60">
        <w:rPr>
          <w:b/>
        </w:rPr>
        <w:t xml:space="preserve">(b)(2) </w:t>
      </w:r>
      <w:r w:rsidRPr="00A55F60">
        <w:rPr>
          <w:rFonts w:ascii="TimesNewRoman" w:hAnsi="TimesNewRoman" w:cs="TimesNewRoman"/>
          <w:b/>
          <w:i/>
        </w:rPr>
        <w:t>Standard</w:t>
      </w:r>
      <w:r w:rsidRPr="00A55F60">
        <w:rPr>
          <w:rFonts w:ascii="TimesNewRoman" w:hAnsi="TimesNewRoman" w:cs="TimesNewRoman"/>
          <w:b/>
        </w:rPr>
        <w:t>.</w:t>
      </w:r>
      <w:r w:rsidRPr="00150564">
        <w:rPr>
          <w:rFonts w:ascii="TimesNewRoman" w:hAnsi="TimesNewRoman" w:cs="TimesNewRoman"/>
        </w:rPr>
        <w:t xml:space="preserve"> </w:t>
      </w:r>
      <w:r w:rsidRPr="00150564">
        <w:t>45 CFR 162.1002(a</w:t>
      </w:r>
      <w:proofErr w:type="gramStart"/>
      <w:r w:rsidRPr="00150564">
        <w:t>)(</w:t>
      </w:r>
      <w:proofErr w:type="gramEnd"/>
      <w:r w:rsidRPr="00150564">
        <w:t>5)—combination of HCPCS and CPT-4</w:t>
      </w:r>
    </w:p>
    <w:p w:rsidR="000B796D" w:rsidRPr="00150564" w:rsidRDefault="000B796D" w:rsidP="00667F31">
      <w:r w:rsidRPr="00A55F60">
        <w:rPr>
          <w:b/>
        </w:rPr>
        <w:t xml:space="preserve">(b)(3) </w:t>
      </w:r>
      <w:r w:rsidRPr="00A55F60">
        <w:rPr>
          <w:rFonts w:ascii="TimesNewRoman" w:hAnsi="TimesNewRoman" w:cs="TimesNewRoman"/>
          <w:b/>
          <w:i/>
        </w:rPr>
        <w:t>Standard.</w:t>
      </w:r>
      <w:r w:rsidRPr="00150564">
        <w:rPr>
          <w:rFonts w:ascii="TimesNewRoman" w:hAnsi="TimesNewRoman" w:cs="TimesNewRoman"/>
        </w:rPr>
        <w:t xml:space="preserve"> </w:t>
      </w:r>
      <w:r w:rsidRPr="00150564">
        <w:t>45 CFR 162.1002(a</w:t>
      </w:r>
      <w:proofErr w:type="gramStart"/>
      <w:r w:rsidRPr="00150564">
        <w:t>)(</w:t>
      </w:r>
      <w:proofErr w:type="gramEnd"/>
      <w:r w:rsidRPr="00150564">
        <w:t>4)—Code on Dental Procedures and Nomenclature.</w:t>
      </w:r>
    </w:p>
    <w:p w:rsidR="000B796D" w:rsidRDefault="004A367B" w:rsidP="00667F31">
      <w:r>
        <w:rPr>
          <w:b/>
        </w:rPr>
        <w:t>(b)(5)</w:t>
      </w:r>
      <w:r w:rsidR="000B796D" w:rsidRPr="00A55F60">
        <w:rPr>
          <w:b/>
        </w:rPr>
        <w:t xml:space="preserve"> </w:t>
      </w:r>
      <w:r w:rsidR="000B796D" w:rsidRPr="00A55F60">
        <w:rPr>
          <w:rFonts w:ascii="TimesNewRoman" w:hAnsi="TimesNewRoman" w:cs="TimesNewRoman"/>
          <w:b/>
          <w:i/>
        </w:rPr>
        <w:t>Standard.</w:t>
      </w:r>
      <w:r w:rsidR="000B796D" w:rsidRPr="00150564">
        <w:rPr>
          <w:rFonts w:ascii="TimesNewRoman" w:hAnsi="TimesNewRoman" w:cs="TimesNewRoman"/>
        </w:rPr>
        <w:t xml:space="preserve"> </w:t>
      </w:r>
      <w:r w:rsidR="000B796D" w:rsidRPr="00150564">
        <w:t>45 CFR 162.1002(c</w:t>
      </w:r>
      <w:proofErr w:type="gramStart"/>
      <w:r w:rsidR="000B796D" w:rsidRPr="00150564">
        <w:t>)(</w:t>
      </w:r>
      <w:proofErr w:type="gramEnd"/>
      <w:r w:rsidR="000B796D" w:rsidRPr="00150564">
        <w:t>3)—ICD-10-PCS</w:t>
      </w:r>
    </w:p>
    <w:p w:rsidR="000B796D" w:rsidRDefault="000B796D" w:rsidP="00667F31">
      <w:r w:rsidRPr="00A55F60">
        <w:rPr>
          <w:b/>
        </w:rPr>
        <w:t xml:space="preserve">(c)(3) </w:t>
      </w:r>
      <w:r w:rsidRPr="00A55F60">
        <w:rPr>
          <w:rFonts w:ascii="TimesNewRoman" w:hAnsi="TimesNewRoman" w:cs="TimesNewRoman"/>
          <w:b/>
          <w:i/>
        </w:rPr>
        <w:t>Standard.</w:t>
      </w:r>
      <w:r w:rsidRPr="00B06B43">
        <w:rPr>
          <w:rFonts w:ascii="TimesNewRoman" w:hAnsi="TimesNewRoman" w:cs="TimesNewRoman"/>
        </w:rPr>
        <w:t xml:space="preserve"> </w:t>
      </w:r>
      <w:r w:rsidRPr="00FA5428">
        <w:t xml:space="preserve"> </w:t>
      </w:r>
      <w:r>
        <w:t>LOINC® Database version 2.52.</w:t>
      </w:r>
    </w:p>
    <w:p w:rsidR="000B796D" w:rsidRDefault="000B796D" w:rsidP="00667F31">
      <w:r w:rsidRPr="00A55F60">
        <w:rPr>
          <w:b/>
        </w:rPr>
        <w:t xml:space="preserve">(d)(3) </w:t>
      </w:r>
      <w:r w:rsidRPr="00A55F60">
        <w:rPr>
          <w:rFonts w:ascii="TimesNewRoman" w:hAnsi="TimesNewRoman" w:cs="TimesNewRoman"/>
          <w:b/>
          <w:i/>
        </w:rPr>
        <w:t>Standard.</w:t>
      </w:r>
      <w:r w:rsidRPr="00B06B43">
        <w:rPr>
          <w:rFonts w:ascii="TimesNewRoman" w:hAnsi="TimesNewRoman" w:cs="TimesNewRoman"/>
        </w:rPr>
        <w:t xml:space="preserve"> </w:t>
      </w:r>
      <w:r w:rsidRPr="00FA5428">
        <w:t xml:space="preserve"> </w:t>
      </w:r>
      <w:proofErr w:type="spellStart"/>
      <w:r w:rsidRPr="00FA5428">
        <w:t>RxNorm</w:t>
      </w:r>
      <w:proofErr w:type="spellEnd"/>
      <w:r w:rsidRPr="00FA5428">
        <w:t>,</w:t>
      </w:r>
      <w:r>
        <w:t xml:space="preserve"> </w:t>
      </w:r>
      <w:r w:rsidRPr="009B4CE2">
        <w:t>September 8, 2015 Release</w:t>
      </w:r>
      <w:r w:rsidRPr="00FA5428">
        <w:t>.</w:t>
      </w:r>
    </w:p>
    <w:p w:rsidR="000B796D" w:rsidRDefault="000B796D" w:rsidP="00667F31">
      <w:r w:rsidRPr="00A55F60">
        <w:rPr>
          <w:b/>
        </w:rPr>
        <w:t xml:space="preserve">(e)(3) </w:t>
      </w:r>
      <w:r w:rsidRPr="00A55F60">
        <w:rPr>
          <w:rFonts w:ascii="TimesNewRoman" w:hAnsi="TimesNewRoman" w:cs="TimesNewRoman"/>
          <w:b/>
          <w:i/>
        </w:rPr>
        <w:t>Standard.</w:t>
      </w:r>
      <w:r w:rsidRPr="00B06B43">
        <w:rPr>
          <w:rFonts w:ascii="TimesNewRoman" w:hAnsi="TimesNewRoman" w:cs="TimesNewRoman"/>
        </w:rPr>
        <w:t xml:space="preserve"> </w:t>
      </w:r>
      <w:r>
        <w:t xml:space="preserve"> HL7</w:t>
      </w:r>
      <w:r w:rsidRPr="00FA5428">
        <w:t xml:space="preserve"> CVX—Vaccines Administered, updates through </w:t>
      </w:r>
      <w:r w:rsidRPr="00A02CE5">
        <w:t>August 17, 2015</w:t>
      </w:r>
      <w:r w:rsidRPr="00FA5428">
        <w:t>.</w:t>
      </w:r>
    </w:p>
    <w:p w:rsidR="000B796D" w:rsidRDefault="000B796D" w:rsidP="00667F31">
      <w:r w:rsidRPr="00A55F60">
        <w:rPr>
          <w:b/>
        </w:rPr>
        <w:t xml:space="preserve">(e)(4) </w:t>
      </w:r>
      <w:r w:rsidRPr="00A55F60">
        <w:rPr>
          <w:rFonts w:ascii="TimesNewRoman" w:hAnsi="TimesNewRoman" w:cs="TimesNewRoman"/>
          <w:b/>
          <w:i/>
        </w:rPr>
        <w:t>Standard.</w:t>
      </w:r>
      <w:r w:rsidRPr="00B06B43">
        <w:rPr>
          <w:rFonts w:ascii="TimesNewRoman" w:hAnsi="TimesNewRoman" w:cs="TimesNewRoman"/>
        </w:rPr>
        <w:t xml:space="preserve"> </w:t>
      </w:r>
      <w:r w:rsidRPr="00240EEF">
        <w:t xml:space="preserve"> National Drug Code Directory—Vaccine Codes, updates through </w:t>
      </w:r>
      <w:r>
        <w:t>August 17, 2015</w:t>
      </w:r>
      <w:r w:rsidRPr="00240EEF">
        <w:t>.</w:t>
      </w:r>
    </w:p>
    <w:p w:rsidR="000B796D" w:rsidRDefault="000B796D" w:rsidP="00667F31">
      <w:r>
        <w:rPr>
          <w:b/>
        </w:rPr>
        <w:t>(f)</w:t>
      </w:r>
      <w:r w:rsidRPr="00A55F60">
        <w:rPr>
          <w:b/>
        </w:rPr>
        <w:t xml:space="preserve">(1) </w:t>
      </w:r>
      <w:r w:rsidRPr="00A55F60">
        <w:rPr>
          <w:rFonts w:ascii="TimesNewRoman" w:hAnsi="TimesNewRoman" w:cs="TimesNewRoman"/>
          <w:b/>
          <w:i/>
        </w:rPr>
        <w:t>Standard.</w:t>
      </w:r>
      <w:r w:rsidRPr="00B06B43">
        <w:rPr>
          <w:rFonts w:ascii="TimesNewRoman" w:hAnsi="TimesNewRoman" w:cs="TimesNewRoman"/>
        </w:rPr>
        <w:t xml:space="preserve"> </w:t>
      </w:r>
      <w:r>
        <w:t xml:space="preserve">OMB </w:t>
      </w:r>
      <w:r w:rsidRPr="00240EEF">
        <w:t>as revised, October 30, 1997.</w:t>
      </w:r>
    </w:p>
    <w:p w:rsidR="000B796D" w:rsidRDefault="000B796D" w:rsidP="00667F31">
      <w:r w:rsidRPr="00A55F60">
        <w:rPr>
          <w:b/>
        </w:rPr>
        <w:t xml:space="preserve">(f)(2) </w:t>
      </w:r>
      <w:r w:rsidRPr="00A55F60">
        <w:rPr>
          <w:rFonts w:ascii="TimesNewRoman" w:hAnsi="TimesNewRoman" w:cs="TimesNewRoman"/>
          <w:b/>
          <w:i/>
        </w:rPr>
        <w:t>Standard.</w:t>
      </w:r>
      <w:r w:rsidRPr="00B06B43">
        <w:rPr>
          <w:rFonts w:ascii="TimesNewRoman" w:hAnsi="TimesNewRoman" w:cs="TimesNewRoman"/>
        </w:rPr>
        <w:t xml:space="preserve"> </w:t>
      </w:r>
      <w:r>
        <w:t xml:space="preserve"> </w:t>
      </w:r>
      <w:r w:rsidRPr="00AA3E4F">
        <w:t>CDC Race and Ethnicity Code Set Version 1.0 (March 2000) (incorporated by reference in § 170.299)</w:t>
      </w:r>
      <w:r w:rsidRPr="00240EEF">
        <w:t xml:space="preserve">. </w:t>
      </w:r>
    </w:p>
    <w:p w:rsidR="000B796D" w:rsidRDefault="000B796D" w:rsidP="00667F31">
      <w:r w:rsidRPr="00A55F60">
        <w:rPr>
          <w:b/>
        </w:rPr>
        <w:t xml:space="preserve">(g)(2) </w:t>
      </w:r>
      <w:r w:rsidRPr="00A55F60">
        <w:rPr>
          <w:rFonts w:ascii="TimesNewRoman" w:hAnsi="TimesNewRoman" w:cs="TimesNewRoman"/>
          <w:b/>
          <w:i/>
        </w:rPr>
        <w:t>Standard.</w:t>
      </w:r>
      <w:r w:rsidRPr="00B06B43">
        <w:rPr>
          <w:rFonts w:ascii="TimesNewRoman" w:hAnsi="TimesNewRoman" w:cs="TimesNewRoman"/>
        </w:rPr>
        <w:t xml:space="preserve"> </w:t>
      </w:r>
      <w:r w:rsidRPr="00240EEF">
        <w:t xml:space="preserve"> </w:t>
      </w:r>
      <w:r w:rsidRPr="00AA3E4F">
        <w:t>Request for Comments (RFC) 5646 (incorporated by reference in § 170.299).</w:t>
      </w:r>
    </w:p>
    <w:p w:rsidR="000B796D" w:rsidRDefault="000B796D" w:rsidP="00667F31">
      <w:r w:rsidRPr="00A55F60">
        <w:rPr>
          <w:b/>
        </w:rPr>
        <w:lastRenderedPageBreak/>
        <w:t xml:space="preserve">(h) </w:t>
      </w:r>
      <w:r w:rsidRPr="00A55F60">
        <w:rPr>
          <w:rFonts w:ascii="TimesNewRoman" w:hAnsi="TimesNewRoman" w:cs="TimesNewRoman"/>
          <w:b/>
          <w:i/>
        </w:rPr>
        <w:t>Standard.</w:t>
      </w:r>
      <w:r w:rsidRPr="00150564">
        <w:rPr>
          <w:rFonts w:ascii="TimesNewRoman" w:hAnsi="TimesNewRoman" w:cs="TimesNewRoman"/>
        </w:rPr>
        <w:t xml:space="preserve"> </w:t>
      </w:r>
      <w:r w:rsidRPr="00150564">
        <w:t>Smoking status constrained codes from SNOMED CT®.</w:t>
      </w:r>
    </w:p>
    <w:p w:rsidR="000B796D" w:rsidRDefault="000B796D" w:rsidP="00667F31">
      <w:r w:rsidRPr="00A55F60">
        <w:rPr>
          <w:b/>
        </w:rPr>
        <w:t xml:space="preserve">(k)(1) </w:t>
      </w:r>
      <w:r w:rsidRPr="00A55F60">
        <w:rPr>
          <w:rFonts w:ascii="TimesNewRoman" w:hAnsi="TimesNewRoman" w:cs="TimesNewRoman"/>
          <w:b/>
          <w:i/>
        </w:rPr>
        <w:t>Standard.</w:t>
      </w:r>
      <w:r w:rsidRPr="00150564">
        <w:t xml:space="preserve"> LOINC® ver</w:t>
      </w:r>
      <w:r>
        <w:t>sion 2.51</w:t>
      </w:r>
      <w:r w:rsidRPr="00150564">
        <w:t xml:space="preserve"> (minimum codes: 8480-6, 8462-4, 8302-2, 3141-9, 8867-4, 9279-1, 8310-5, 59408-5, 39156-5, and 8478-0)</w:t>
      </w:r>
    </w:p>
    <w:p w:rsidR="000B796D" w:rsidRPr="00AF0913" w:rsidRDefault="000B796D" w:rsidP="00667F31">
      <w:r w:rsidRPr="00A55F60">
        <w:rPr>
          <w:b/>
          <w:i/>
        </w:rPr>
        <w:t>(m) Numerical references—(1) Standard.</w:t>
      </w:r>
      <w:r w:rsidRPr="00AA3E4F">
        <w:t xml:space="preserve"> The Unified Code of Units of Measure, Revision 1.9 (incorporated by reference in § 170.299).</w:t>
      </w:r>
    </w:p>
    <w:p w:rsidR="000B796D" w:rsidRDefault="000B796D" w:rsidP="00667F31">
      <w:r w:rsidRPr="00A55F60">
        <w:rPr>
          <w:b/>
        </w:rPr>
        <w:t xml:space="preserve">(n)(1) </w:t>
      </w:r>
      <w:r w:rsidRPr="00A55F60">
        <w:rPr>
          <w:rFonts w:ascii="TimesNewRoman" w:hAnsi="TimesNewRoman" w:cs="TimesNewRoman"/>
          <w:b/>
          <w:i/>
        </w:rPr>
        <w:t>Standard</w:t>
      </w:r>
      <w:r w:rsidRPr="00A55F60">
        <w:rPr>
          <w:rFonts w:ascii="TimesNewRoman" w:hAnsi="TimesNewRoman" w:cs="TimesNewRoman"/>
          <w:b/>
        </w:rPr>
        <w:t>.</w:t>
      </w:r>
      <w:r w:rsidRPr="00B06B43">
        <w:rPr>
          <w:rFonts w:ascii="TimesNewRoman" w:hAnsi="TimesNewRoman" w:cs="TimesNewRoman"/>
        </w:rPr>
        <w:t xml:space="preserve"> </w:t>
      </w:r>
      <w:r>
        <w:t xml:space="preserve">Birth sex must be coded in accordance with HL7 Version 3 Standard, Value Sets for </w:t>
      </w:r>
      <w:proofErr w:type="spellStart"/>
      <w:r>
        <w:t>AdministrativeGender</w:t>
      </w:r>
      <w:proofErr w:type="spellEnd"/>
      <w:r>
        <w:t xml:space="preserve"> and </w:t>
      </w:r>
      <w:proofErr w:type="spellStart"/>
      <w:r>
        <w:t>NullFlavor</w:t>
      </w:r>
      <w:proofErr w:type="spellEnd"/>
      <w:r>
        <w:t xml:space="preserve"> (incorporated by reference in § 170.299), attributed as follows:</w:t>
      </w:r>
    </w:p>
    <w:p w:rsidR="000B796D" w:rsidRDefault="000B796D" w:rsidP="00667F31">
      <w:r>
        <w:t>(</w:t>
      </w:r>
      <w:proofErr w:type="spellStart"/>
      <w:r>
        <w:t>i</w:t>
      </w:r>
      <w:proofErr w:type="spellEnd"/>
      <w:r>
        <w:t>) Male. M</w:t>
      </w:r>
    </w:p>
    <w:p w:rsidR="000B796D" w:rsidRDefault="000B796D" w:rsidP="00667F31">
      <w:r>
        <w:t>(ii) Female. F</w:t>
      </w:r>
    </w:p>
    <w:p w:rsidR="000B796D" w:rsidRDefault="000B796D" w:rsidP="00667F31">
      <w:r>
        <w:t xml:space="preserve">(iii) Unknown. </w:t>
      </w:r>
      <w:proofErr w:type="spellStart"/>
      <w:proofErr w:type="gramStart"/>
      <w:r>
        <w:t>nullFlavor</w:t>
      </w:r>
      <w:proofErr w:type="spellEnd"/>
      <w:proofErr w:type="gramEnd"/>
      <w:r>
        <w:t xml:space="preserve"> UNK</w:t>
      </w:r>
    </w:p>
    <w:p w:rsidR="000B796D" w:rsidRDefault="000B796D" w:rsidP="00667F31"/>
    <w:p w:rsidR="000B796D" w:rsidRPr="00EF4CC5" w:rsidRDefault="000B796D" w:rsidP="00667F31">
      <w:pPr>
        <w:rPr>
          <w:b/>
        </w:rPr>
      </w:pPr>
      <w:r w:rsidRPr="00935E7F">
        <w:rPr>
          <w:b/>
        </w:rPr>
        <w:t>§170.210   Standards for health information technology to protect electronic health information created, maintained, and exchanged.</w:t>
      </w:r>
    </w:p>
    <w:p w:rsidR="000B796D" w:rsidRDefault="000B796D" w:rsidP="00667F31">
      <w:r w:rsidRPr="00EF4CC5">
        <w:t>(g) Synchronized clocks. The date and time recorded utilize a system clock that has been synchronized following (RFC 1305) Network Time Protocol, (incorporated by reference in §170.299) or (RFC 5905) Network Time Protocol Version 4, (incorporated by reference in §170.299).</w:t>
      </w:r>
    </w:p>
    <w:p w:rsidR="00FB252C" w:rsidRDefault="00FB252C" w:rsidP="00667F31"/>
    <w:p w:rsidR="00FB252C" w:rsidRDefault="00FB252C" w:rsidP="00667F31"/>
    <w:p w:rsidR="00362E3C" w:rsidRDefault="00362E3C" w:rsidP="00667F31"/>
    <w:p w:rsidR="00362E3C" w:rsidRDefault="00362E3C" w:rsidP="00667F31"/>
    <w:p w:rsidR="00362E3C" w:rsidRDefault="00362E3C" w:rsidP="00667F31"/>
    <w:p w:rsidR="00362E3C" w:rsidRDefault="00362E3C" w:rsidP="00667F31"/>
    <w:p w:rsidR="00362E3C" w:rsidRDefault="00362E3C" w:rsidP="00667F31"/>
    <w:p w:rsidR="00362E3C" w:rsidRDefault="00362E3C" w:rsidP="00667F31"/>
    <w:p w:rsidR="00362E3C" w:rsidRPr="00265900" w:rsidRDefault="00362E3C" w:rsidP="00667F31"/>
    <w:p w:rsidR="00362E3C" w:rsidRPr="00F675D5" w:rsidRDefault="00362E3C" w:rsidP="00667F31"/>
    <w:p w:rsidR="00362E3C" w:rsidRPr="006F1317" w:rsidRDefault="00362E3C" w:rsidP="00667F31"/>
    <w:p w:rsidR="00362E3C" w:rsidRDefault="00362E3C" w:rsidP="00667F31"/>
    <w:p w:rsidR="00362E3C" w:rsidRDefault="00362E3C" w:rsidP="00667F31"/>
    <w:p w:rsidR="00362E3C" w:rsidRDefault="00362E3C" w:rsidP="00667F31"/>
    <w:p w:rsidR="00362E3C" w:rsidRDefault="00362E3C" w:rsidP="00667F31"/>
    <w:p w:rsidR="00362E3C" w:rsidRDefault="00362E3C" w:rsidP="00667F31">
      <w:pPr>
        <w:rPr>
          <w:rFonts w:ascii="Arial" w:eastAsia="Arial" w:hAnsi="Arial" w:cs="Arial"/>
        </w:rPr>
      </w:pPr>
      <w:r>
        <w:br w:type="page"/>
      </w:r>
    </w:p>
    <w:p w:rsidR="008E0754" w:rsidRDefault="008E0754" w:rsidP="008E0754">
      <w:pPr>
        <w:pStyle w:val="Heading1"/>
      </w:pPr>
      <w:bookmarkStart w:id="11" w:name="_Appendix_C:_CCDS"/>
      <w:bookmarkStart w:id="12" w:name="_Toc432066412"/>
      <w:bookmarkEnd w:id="2"/>
      <w:bookmarkEnd w:id="11"/>
      <w:r>
        <w:lastRenderedPageBreak/>
        <w:t>Appendix C: CCDS Reference Table</w:t>
      </w:r>
    </w:p>
    <w:p w:rsidR="008E0754" w:rsidRPr="00B53991" w:rsidRDefault="008E0754" w:rsidP="008E0754">
      <w:pPr>
        <w:pStyle w:val="Heading1"/>
        <w:rPr>
          <w:rFonts w:ascii="Times New Roman" w:hAnsi="Times New Roman" w:cs="Times New Roman"/>
          <w:b w:val="0"/>
          <w:bCs w:val="0"/>
          <w:i/>
          <w:kern w:val="0"/>
          <w:sz w:val="24"/>
          <w:szCs w:val="24"/>
        </w:rPr>
      </w:pPr>
      <w:r w:rsidRPr="00B53991">
        <w:rPr>
          <w:rFonts w:ascii="Times New Roman" w:hAnsi="Times New Roman" w:cs="Times New Roman"/>
          <w:b w:val="0"/>
          <w:bCs w:val="0"/>
          <w:i/>
          <w:kern w:val="0"/>
          <w:sz w:val="24"/>
          <w:szCs w:val="24"/>
        </w:rPr>
        <w:t xml:space="preserve">This appendix contains </w:t>
      </w:r>
      <w:r>
        <w:rPr>
          <w:rFonts w:ascii="Times New Roman" w:hAnsi="Times New Roman" w:cs="Times New Roman"/>
          <w:b w:val="0"/>
          <w:bCs w:val="0"/>
          <w:i/>
          <w:kern w:val="0"/>
          <w:sz w:val="24"/>
          <w:szCs w:val="24"/>
        </w:rPr>
        <w:t>a reference guide to evaluate the Common Clinical Data Set and additional elements are populated accurately and without omission.</w:t>
      </w:r>
    </w:p>
    <w:p w:rsidR="008E0754" w:rsidRDefault="008E0754" w:rsidP="008E0754">
      <w:pPr>
        <w:rPr>
          <w:rFonts w:ascii="Arial" w:hAnsi="Arial" w:cs="Arial"/>
          <w:b/>
          <w:bCs/>
          <w:kern w:val="32"/>
        </w:rPr>
      </w:pPr>
    </w:p>
    <w:p w:rsidR="008E0754" w:rsidRDefault="008E0754" w:rsidP="008E0754">
      <w:pPr>
        <w:spacing w:line="360" w:lineRule="auto"/>
        <w:jc w:val="center"/>
        <w:rPr>
          <w:b/>
        </w:rPr>
      </w:pPr>
      <w:r w:rsidRPr="0055336E">
        <w:rPr>
          <w:b/>
        </w:rPr>
        <w:t>CCDS Reference Table</w:t>
      </w:r>
    </w:p>
    <w:p w:rsidR="0076345E" w:rsidRPr="0030028C" w:rsidRDefault="00670695" w:rsidP="0076345E">
      <w:pPr>
        <w:spacing w:line="360" w:lineRule="auto"/>
        <w:jc w:val="center"/>
      </w:pPr>
      <w:hyperlink r:id="rId14" w:history="1">
        <w:r w:rsidR="0076345E">
          <w:rPr>
            <w:rStyle w:val="Hyperlink"/>
          </w:rPr>
          <w:t xml:space="preserve">2015 Common Clinical Data Set </w:t>
        </w:r>
      </w:hyperlink>
    </w:p>
    <w:tbl>
      <w:tblPr>
        <w:tblStyle w:val="TableGrid"/>
        <w:tblW w:w="0" w:type="auto"/>
        <w:tblLook w:val="04A0" w:firstRow="1" w:lastRow="0" w:firstColumn="1" w:lastColumn="0" w:noHBand="0" w:noVBand="1"/>
      </w:tblPr>
      <w:tblGrid>
        <w:gridCol w:w="445"/>
        <w:gridCol w:w="2044"/>
        <w:gridCol w:w="2836"/>
        <w:gridCol w:w="3305"/>
      </w:tblGrid>
      <w:tr w:rsidR="008E0754" w:rsidRPr="005F4354" w:rsidTr="00975BB3">
        <w:tc>
          <w:tcPr>
            <w:tcW w:w="445" w:type="dxa"/>
            <w:shd w:val="clear" w:color="auto" w:fill="DBE5F1" w:themeFill="accent1" w:themeFillTint="33"/>
          </w:tcPr>
          <w:p w:rsidR="008E0754" w:rsidRPr="009B02A8" w:rsidRDefault="008E0754" w:rsidP="00975BB3">
            <w:pPr>
              <w:rPr>
                <w:rFonts w:ascii="Leelawadee UI" w:hAnsi="Leelawadee UI" w:cs="Leelawadee UI"/>
                <w:b/>
                <w:sz w:val="18"/>
                <w:szCs w:val="18"/>
              </w:rPr>
            </w:pPr>
          </w:p>
        </w:tc>
        <w:tc>
          <w:tcPr>
            <w:tcW w:w="2044" w:type="dxa"/>
            <w:shd w:val="clear" w:color="auto" w:fill="DBE5F1" w:themeFill="accent1" w:themeFillTint="33"/>
          </w:tcPr>
          <w:p w:rsidR="008E0754" w:rsidRPr="009B02A8" w:rsidRDefault="008E0754" w:rsidP="00975BB3">
            <w:pPr>
              <w:rPr>
                <w:rFonts w:ascii="Leelawadee UI" w:hAnsi="Leelawadee UI" w:cs="Leelawadee UI"/>
                <w:b/>
                <w:sz w:val="18"/>
                <w:szCs w:val="18"/>
              </w:rPr>
            </w:pPr>
            <w:r w:rsidRPr="009B02A8">
              <w:rPr>
                <w:rFonts w:ascii="Leelawadee UI" w:hAnsi="Leelawadee UI" w:cs="Leelawadee UI"/>
                <w:b/>
                <w:sz w:val="18"/>
                <w:szCs w:val="18"/>
              </w:rPr>
              <w:t>Test Data</w:t>
            </w:r>
          </w:p>
        </w:tc>
        <w:tc>
          <w:tcPr>
            <w:tcW w:w="2836" w:type="dxa"/>
            <w:shd w:val="clear" w:color="auto" w:fill="DBE5F1" w:themeFill="accent1" w:themeFillTint="33"/>
          </w:tcPr>
          <w:p w:rsidR="008E0754" w:rsidRPr="009B02A8" w:rsidRDefault="008E0754" w:rsidP="00975BB3">
            <w:pPr>
              <w:rPr>
                <w:rFonts w:ascii="Leelawadee UI" w:hAnsi="Leelawadee UI" w:cs="Leelawadee UI"/>
                <w:b/>
                <w:sz w:val="18"/>
                <w:szCs w:val="18"/>
              </w:rPr>
            </w:pPr>
            <w:r w:rsidRPr="009B02A8">
              <w:rPr>
                <w:rFonts w:ascii="Leelawadee UI" w:hAnsi="Leelawadee UI" w:cs="Leelawadee UI"/>
                <w:b/>
                <w:sz w:val="18"/>
                <w:szCs w:val="18"/>
              </w:rPr>
              <w:t xml:space="preserve">CCDS </w:t>
            </w:r>
          </w:p>
        </w:tc>
        <w:tc>
          <w:tcPr>
            <w:tcW w:w="3305" w:type="dxa"/>
            <w:shd w:val="clear" w:color="auto" w:fill="DBE5F1" w:themeFill="accent1" w:themeFillTint="33"/>
          </w:tcPr>
          <w:p w:rsidR="008E0754" w:rsidRPr="009B02A8" w:rsidRDefault="008E0754" w:rsidP="00975BB3">
            <w:pPr>
              <w:rPr>
                <w:rFonts w:ascii="Leelawadee UI" w:hAnsi="Leelawadee UI" w:cs="Leelawadee UI"/>
                <w:b/>
                <w:sz w:val="18"/>
                <w:szCs w:val="18"/>
              </w:rPr>
            </w:pPr>
            <w:r w:rsidRPr="009B02A8">
              <w:rPr>
                <w:rFonts w:ascii="Leelawadee UI" w:hAnsi="Leelawadee UI" w:cs="Leelawadee UI"/>
                <w:b/>
                <w:sz w:val="18"/>
                <w:szCs w:val="18"/>
              </w:rPr>
              <w:t xml:space="preserve">Standard </w:t>
            </w:r>
          </w:p>
        </w:tc>
      </w:tr>
      <w:tr w:rsidR="008E0754" w:rsidRPr="00A55F60" w:rsidTr="00975BB3">
        <w:sdt>
          <w:sdtPr>
            <w:rPr>
              <w:sz w:val="18"/>
              <w:szCs w:val="18"/>
            </w:rPr>
            <w:id w:val="1877734786"/>
            <w14:checkbox>
              <w14:checked w14:val="0"/>
              <w14:checkedState w14:val="2612" w14:font="Arial Unicode MS"/>
              <w14:uncheckedState w14:val="2610" w14:font="Arial Unicode MS"/>
            </w14:checkbox>
          </w:sdtPr>
          <w:sdtEndPr/>
          <w:sdtContent>
            <w:tc>
              <w:tcPr>
                <w:tcW w:w="445" w:type="dxa"/>
              </w:tcPr>
              <w:p w:rsidR="008E0754" w:rsidRPr="009B02A8" w:rsidRDefault="008E0754" w:rsidP="00975BB3">
                <w:pPr>
                  <w:rPr>
                    <w:sz w:val="18"/>
                    <w:szCs w:val="18"/>
                  </w:rPr>
                </w:pPr>
                <w:r w:rsidRPr="009B02A8">
                  <w:rPr>
                    <w:rFonts w:ascii="MS Gothic" w:eastAsia="MS Gothic" w:hAnsi="MS Gothic" w:hint="eastAsia"/>
                    <w:sz w:val="18"/>
                    <w:szCs w:val="18"/>
                  </w:rPr>
                  <w:t>☐</w:t>
                </w:r>
              </w:p>
            </w:tc>
          </w:sdtContent>
        </w:sdt>
        <w:tc>
          <w:tcPr>
            <w:tcW w:w="2044" w:type="dxa"/>
          </w:tcPr>
          <w:p w:rsidR="008E0754" w:rsidRPr="009B02A8" w:rsidRDefault="008E0754" w:rsidP="00975BB3">
            <w:pPr>
              <w:spacing w:line="360" w:lineRule="auto"/>
              <w:rPr>
                <w:color w:val="000000" w:themeColor="text1"/>
                <w:sz w:val="18"/>
                <w:szCs w:val="18"/>
              </w:rPr>
            </w:pPr>
          </w:p>
        </w:tc>
        <w:tc>
          <w:tcPr>
            <w:tcW w:w="2836" w:type="dxa"/>
          </w:tcPr>
          <w:p w:rsidR="008E0754" w:rsidRPr="009B02A8" w:rsidRDefault="008E0754" w:rsidP="00975BB3">
            <w:pPr>
              <w:spacing w:line="360" w:lineRule="auto"/>
              <w:rPr>
                <w:color w:val="000000" w:themeColor="text1"/>
                <w:sz w:val="18"/>
                <w:szCs w:val="18"/>
              </w:rPr>
            </w:pPr>
            <w:r w:rsidRPr="009B02A8">
              <w:rPr>
                <w:color w:val="000000" w:themeColor="text1"/>
                <w:sz w:val="18"/>
                <w:szCs w:val="18"/>
              </w:rPr>
              <w:t>Patient Name</w:t>
            </w:r>
          </w:p>
        </w:tc>
        <w:tc>
          <w:tcPr>
            <w:tcW w:w="3305" w:type="dxa"/>
          </w:tcPr>
          <w:p w:rsidR="008E0754" w:rsidRPr="009B02A8" w:rsidRDefault="008E0754" w:rsidP="00975BB3">
            <w:pPr>
              <w:outlineLvl w:val="3"/>
              <w:rPr>
                <w:b/>
                <w:sz w:val="18"/>
                <w:szCs w:val="18"/>
              </w:rPr>
            </w:pPr>
            <w:r w:rsidRPr="009B02A8">
              <w:rPr>
                <w:b/>
                <w:sz w:val="18"/>
                <w:szCs w:val="18"/>
              </w:rPr>
              <w:t>&lt;Not applicable&gt;</w:t>
            </w:r>
          </w:p>
        </w:tc>
      </w:tr>
      <w:tr w:rsidR="008E0754" w:rsidRPr="00E074CB" w:rsidTr="00975BB3">
        <w:sdt>
          <w:sdtPr>
            <w:rPr>
              <w:sz w:val="18"/>
              <w:szCs w:val="18"/>
            </w:rPr>
            <w:id w:val="-582689269"/>
            <w14:checkbox>
              <w14:checked w14:val="0"/>
              <w14:checkedState w14:val="2612" w14:font="Arial Unicode MS"/>
              <w14:uncheckedState w14:val="2610" w14:font="Arial Unicode MS"/>
            </w14:checkbox>
          </w:sdtPr>
          <w:sdtEndPr/>
          <w:sdtContent>
            <w:tc>
              <w:tcPr>
                <w:tcW w:w="445" w:type="dxa"/>
              </w:tcPr>
              <w:p w:rsidR="008E0754" w:rsidRPr="009B02A8" w:rsidRDefault="008E0754" w:rsidP="00975BB3">
                <w:pPr>
                  <w:rPr>
                    <w:sz w:val="18"/>
                    <w:szCs w:val="18"/>
                  </w:rPr>
                </w:pPr>
                <w:r w:rsidRPr="009B02A8">
                  <w:rPr>
                    <w:rFonts w:ascii="MS Gothic" w:eastAsia="MS Gothic" w:hAnsi="MS Gothic" w:hint="eastAsia"/>
                    <w:sz w:val="18"/>
                    <w:szCs w:val="18"/>
                  </w:rPr>
                  <w:t>☐</w:t>
                </w:r>
              </w:p>
            </w:tc>
          </w:sdtContent>
        </w:sdt>
        <w:tc>
          <w:tcPr>
            <w:tcW w:w="2044" w:type="dxa"/>
          </w:tcPr>
          <w:p w:rsidR="008E0754" w:rsidRPr="009B02A8" w:rsidRDefault="008E0754" w:rsidP="00975BB3">
            <w:pPr>
              <w:spacing w:line="360" w:lineRule="auto"/>
              <w:rPr>
                <w:color w:val="000000" w:themeColor="text1"/>
                <w:sz w:val="18"/>
                <w:szCs w:val="18"/>
              </w:rPr>
            </w:pPr>
          </w:p>
        </w:tc>
        <w:tc>
          <w:tcPr>
            <w:tcW w:w="2836" w:type="dxa"/>
          </w:tcPr>
          <w:p w:rsidR="008E0754" w:rsidRPr="009B02A8" w:rsidRDefault="008E0754" w:rsidP="00975BB3">
            <w:pPr>
              <w:spacing w:line="360" w:lineRule="auto"/>
              <w:rPr>
                <w:color w:val="000000" w:themeColor="text1"/>
                <w:sz w:val="18"/>
                <w:szCs w:val="18"/>
              </w:rPr>
            </w:pPr>
            <w:r w:rsidRPr="009B02A8">
              <w:rPr>
                <w:color w:val="000000" w:themeColor="text1"/>
                <w:sz w:val="18"/>
                <w:szCs w:val="18"/>
              </w:rPr>
              <w:t>Sex; including Birth sex</w:t>
            </w:r>
          </w:p>
        </w:tc>
        <w:tc>
          <w:tcPr>
            <w:tcW w:w="3305" w:type="dxa"/>
          </w:tcPr>
          <w:p w:rsidR="008E0754" w:rsidRPr="009B02A8" w:rsidRDefault="008E0754" w:rsidP="00975BB3">
            <w:pPr>
              <w:outlineLvl w:val="3"/>
              <w:rPr>
                <w:b/>
                <w:color w:val="000000" w:themeColor="text1"/>
                <w:sz w:val="18"/>
                <w:szCs w:val="18"/>
              </w:rPr>
            </w:pPr>
            <w:r w:rsidRPr="009B02A8">
              <w:rPr>
                <w:b/>
                <w:sz w:val="18"/>
                <w:szCs w:val="18"/>
              </w:rPr>
              <w:t xml:space="preserve">§170.207 (n)(1) </w:t>
            </w:r>
          </w:p>
        </w:tc>
      </w:tr>
      <w:tr w:rsidR="008E0754" w:rsidRPr="00A55F60" w:rsidTr="00975BB3">
        <w:sdt>
          <w:sdtPr>
            <w:rPr>
              <w:sz w:val="18"/>
              <w:szCs w:val="18"/>
            </w:rPr>
            <w:id w:val="-1465198134"/>
            <w14:checkbox>
              <w14:checked w14:val="0"/>
              <w14:checkedState w14:val="2612" w14:font="Arial Unicode MS"/>
              <w14:uncheckedState w14:val="2610" w14:font="Arial Unicode MS"/>
            </w14:checkbox>
          </w:sdtPr>
          <w:sdtEndPr/>
          <w:sdtContent>
            <w:tc>
              <w:tcPr>
                <w:tcW w:w="445" w:type="dxa"/>
              </w:tcPr>
              <w:p w:rsidR="008E0754" w:rsidRPr="009B02A8" w:rsidRDefault="008E0754" w:rsidP="00975BB3">
                <w:pPr>
                  <w:rPr>
                    <w:sz w:val="18"/>
                    <w:szCs w:val="18"/>
                  </w:rPr>
                </w:pPr>
                <w:r w:rsidRPr="009B02A8">
                  <w:rPr>
                    <w:rFonts w:ascii="MS Gothic" w:eastAsia="MS Gothic" w:hAnsi="MS Gothic" w:hint="eastAsia"/>
                    <w:sz w:val="18"/>
                    <w:szCs w:val="18"/>
                  </w:rPr>
                  <w:t>☐</w:t>
                </w:r>
              </w:p>
            </w:tc>
          </w:sdtContent>
        </w:sdt>
        <w:tc>
          <w:tcPr>
            <w:tcW w:w="2044" w:type="dxa"/>
          </w:tcPr>
          <w:p w:rsidR="008E0754" w:rsidRPr="009B02A8" w:rsidRDefault="008E0754" w:rsidP="00975BB3">
            <w:pPr>
              <w:spacing w:line="360" w:lineRule="auto"/>
              <w:rPr>
                <w:color w:val="000000" w:themeColor="text1"/>
                <w:sz w:val="18"/>
                <w:szCs w:val="18"/>
              </w:rPr>
            </w:pPr>
          </w:p>
        </w:tc>
        <w:tc>
          <w:tcPr>
            <w:tcW w:w="2836" w:type="dxa"/>
          </w:tcPr>
          <w:p w:rsidR="008E0754" w:rsidRPr="009B02A8" w:rsidRDefault="008E0754" w:rsidP="00975BB3">
            <w:pPr>
              <w:spacing w:line="360" w:lineRule="auto"/>
              <w:rPr>
                <w:color w:val="000000" w:themeColor="text1"/>
                <w:sz w:val="18"/>
                <w:szCs w:val="18"/>
              </w:rPr>
            </w:pPr>
            <w:r w:rsidRPr="009B02A8">
              <w:rPr>
                <w:color w:val="000000" w:themeColor="text1"/>
                <w:sz w:val="18"/>
                <w:szCs w:val="18"/>
              </w:rPr>
              <w:t xml:space="preserve">Date of Birth </w:t>
            </w:r>
          </w:p>
        </w:tc>
        <w:tc>
          <w:tcPr>
            <w:tcW w:w="3305" w:type="dxa"/>
          </w:tcPr>
          <w:p w:rsidR="008E0754" w:rsidRPr="009B02A8" w:rsidRDefault="008E0754" w:rsidP="00975BB3">
            <w:pPr>
              <w:outlineLvl w:val="3"/>
              <w:rPr>
                <w:b/>
                <w:sz w:val="18"/>
                <w:szCs w:val="18"/>
              </w:rPr>
            </w:pPr>
            <w:r w:rsidRPr="009B02A8">
              <w:rPr>
                <w:b/>
                <w:sz w:val="18"/>
                <w:szCs w:val="18"/>
              </w:rPr>
              <w:t>&lt;Not applicable&gt;</w:t>
            </w:r>
          </w:p>
        </w:tc>
      </w:tr>
      <w:tr w:rsidR="008E0754" w:rsidRPr="00E074CB" w:rsidTr="00975BB3">
        <w:sdt>
          <w:sdtPr>
            <w:rPr>
              <w:sz w:val="18"/>
              <w:szCs w:val="18"/>
            </w:rPr>
            <w:id w:val="1960441275"/>
            <w14:checkbox>
              <w14:checked w14:val="0"/>
              <w14:checkedState w14:val="2612" w14:font="Arial Unicode MS"/>
              <w14:uncheckedState w14:val="2610" w14:font="Arial Unicode MS"/>
            </w14:checkbox>
          </w:sdtPr>
          <w:sdtEndPr/>
          <w:sdtContent>
            <w:tc>
              <w:tcPr>
                <w:tcW w:w="445" w:type="dxa"/>
              </w:tcPr>
              <w:p w:rsidR="008E0754" w:rsidRPr="009B02A8" w:rsidRDefault="008E0754" w:rsidP="00975BB3">
                <w:pPr>
                  <w:rPr>
                    <w:sz w:val="18"/>
                    <w:szCs w:val="18"/>
                  </w:rPr>
                </w:pPr>
                <w:r w:rsidRPr="009B02A8">
                  <w:rPr>
                    <w:rFonts w:ascii="MS Gothic" w:eastAsia="MS Gothic" w:hAnsi="MS Gothic" w:hint="eastAsia"/>
                    <w:sz w:val="18"/>
                    <w:szCs w:val="18"/>
                  </w:rPr>
                  <w:t>☐</w:t>
                </w:r>
              </w:p>
            </w:tc>
          </w:sdtContent>
        </w:sdt>
        <w:tc>
          <w:tcPr>
            <w:tcW w:w="2044" w:type="dxa"/>
          </w:tcPr>
          <w:p w:rsidR="008E0754" w:rsidRPr="009B02A8" w:rsidRDefault="008E0754" w:rsidP="00975BB3">
            <w:pPr>
              <w:spacing w:line="360" w:lineRule="auto"/>
              <w:rPr>
                <w:color w:val="000000" w:themeColor="text1"/>
                <w:sz w:val="18"/>
                <w:szCs w:val="18"/>
              </w:rPr>
            </w:pPr>
          </w:p>
        </w:tc>
        <w:tc>
          <w:tcPr>
            <w:tcW w:w="2836" w:type="dxa"/>
          </w:tcPr>
          <w:p w:rsidR="008E0754" w:rsidRPr="009B02A8" w:rsidRDefault="008E0754" w:rsidP="00975BB3">
            <w:pPr>
              <w:spacing w:line="360" w:lineRule="auto"/>
              <w:rPr>
                <w:color w:val="000000" w:themeColor="text1"/>
                <w:sz w:val="18"/>
                <w:szCs w:val="18"/>
              </w:rPr>
            </w:pPr>
            <w:r w:rsidRPr="009B02A8">
              <w:rPr>
                <w:color w:val="000000" w:themeColor="text1"/>
                <w:sz w:val="18"/>
                <w:szCs w:val="18"/>
              </w:rPr>
              <w:t>Race</w:t>
            </w:r>
          </w:p>
        </w:tc>
        <w:tc>
          <w:tcPr>
            <w:tcW w:w="3305" w:type="dxa"/>
          </w:tcPr>
          <w:p w:rsidR="008E0754" w:rsidRPr="009B02A8" w:rsidRDefault="00DE7198" w:rsidP="00975BB3">
            <w:pPr>
              <w:outlineLvl w:val="3"/>
              <w:rPr>
                <w:b/>
                <w:sz w:val="18"/>
                <w:szCs w:val="18"/>
              </w:rPr>
            </w:pPr>
            <w:r>
              <w:rPr>
                <w:b/>
                <w:sz w:val="18"/>
                <w:szCs w:val="18"/>
              </w:rPr>
              <w:t>§170.207 (f)(2</w:t>
            </w:r>
            <w:r w:rsidR="008E0754" w:rsidRPr="009B02A8">
              <w:rPr>
                <w:b/>
                <w:sz w:val="18"/>
                <w:szCs w:val="18"/>
              </w:rPr>
              <w:t xml:space="preserve">) </w:t>
            </w:r>
            <w:r w:rsidR="008E0754" w:rsidRPr="008A57AB">
              <w:rPr>
                <w:sz w:val="18"/>
                <w:szCs w:val="18"/>
              </w:rPr>
              <w:t>mapped to</w:t>
            </w:r>
            <w:r w:rsidR="008E0754" w:rsidRPr="009B02A8">
              <w:rPr>
                <w:sz w:val="18"/>
                <w:szCs w:val="18"/>
              </w:rPr>
              <w:t xml:space="preserve"> </w:t>
            </w:r>
            <w:r>
              <w:rPr>
                <w:b/>
                <w:sz w:val="18"/>
                <w:szCs w:val="18"/>
              </w:rPr>
              <w:t>§170.207(f)(1</w:t>
            </w:r>
            <w:r w:rsidR="008E0754" w:rsidRPr="009B02A8">
              <w:rPr>
                <w:b/>
                <w:sz w:val="18"/>
                <w:szCs w:val="18"/>
              </w:rPr>
              <w:t>)</w:t>
            </w:r>
            <w:r w:rsidR="008E0754">
              <w:rPr>
                <w:b/>
                <w:sz w:val="18"/>
                <w:szCs w:val="18"/>
              </w:rPr>
              <w:t xml:space="preserve">; </w:t>
            </w:r>
          </w:p>
          <w:p w:rsidR="008E0754" w:rsidRPr="009B02A8" w:rsidRDefault="008E0754" w:rsidP="00975BB3">
            <w:pPr>
              <w:outlineLvl w:val="3"/>
              <w:rPr>
                <w:b/>
                <w:color w:val="000000" w:themeColor="text1"/>
                <w:sz w:val="18"/>
                <w:szCs w:val="18"/>
              </w:rPr>
            </w:pPr>
            <w:r>
              <w:rPr>
                <w:b/>
                <w:sz w:val="18"/>
                <w:szCs w:val="18"/>
              </w:rPr>
              <w:t xml:space="preserve"> </w:t>
            </w:r>
            <w:r w:rsidRPr="009B02A8">
              <w:rPr>
                <w:b/>
                <w:sz w:val="18"/>
                <w:szCs w:val="18"/>
              </w:rPr>
              <w:t>§170.207(f)(2)</w:t>
            </w:r>
          </w:p>
        </w:tc>
      </w:tr>
      <w:tr w:rsidR="008E0754" w:rsidRPr="00E074CB" w:rsidTr="00975BB3">
        <w:sdt>
          <w:sdtPr>
            <w:rPr>
              <w:sz w:val="18"/>
              <w:szCs w:val="18"/>
            </w:rPr>
            <w:id w:val="1771043698"/>
            <w14:checkbox>
              <w14:checked w14:val="0"/>
              <w14:checkedState w14:val="2612" w14:font="Arial Unicode MS"/>
              <w14:uncheckedState w14:val="2610" w14:font="Arial Unicode MS"/>
            </w14:checkbox>
          </w:sdtPr>
          <w:sdtEndPr/>
          <w:sdtContent>
            <w:tc>
              <w:tcPr>
                <w:tcW w:w="445" w:type="dxa"/>
              </w:tcPr>
              <w:p w:rsidR="008E0754" w:rsidRPr="009B02A8" w:rsidRDefault="008E0754" w:rsidP="00975BB3">
                <w:pPr>
                  <w:rPr>
                    <w:sz w:val="18"/>
                    <w:szCs w:val="18"/>
                  </w:rPr>
                </w:pPr>
                <w:r w:rsidRPr="009B02A8">
                  <w:rPr>
                    <w:rFonts w:ascii="MS Gothic" w:eastAsia="MS Gothic" w:hAnsi="MS Gothic" w:hint="eastAsia"/>
                    <w:sz w:val="18"/>
                    <w:szCs w:val="18"/>
                  </w:rPr>
                  <w:t>☐</w:t>
                </w:r>
              </w:p>
            </w:tc>
          </w:sdtContent>
        </w:sdt>
        <w:tc>
          <w:tcPr>
            <w:tcW w:w="2044" w:type="dxa"/>
          </w:tcPr>
          <w:p w:rsidR="008E0754" w:rsidRPr="009B02A8" w:rsidRDefault="008E0754" w:rsidP="00975BB3">
            <w:pPr>
              <w:spacing w:line="360" w:lineRule="auto"/>
              <w:rPr>
                <w:color w:val="000000" w:themeColor="text1"/>
                <w:sz w:val="18"/>
                <w:szCs w:val="18"/>
              </w:rPr>
            </w:pPr>
          </w:p>
        </w:tc>
        <w:tc>
          <w:tcPr>
            <w:tcW w:w="2836" w:type="dxa"/>
          </w:tcPr>
          <w:p w:rsidR="008E0754" w:rsidRPr="009B02A8" w:rsidRDefault="008E0754" w:rsidP="00975BB3">
            <w:pPr>
              <w:spacing w:line="360" w:lineRule="auto"/>
              <w:rPr>
                <w:color w:val="000000" w:themeColor="text1"/>
                <w:sz w:val="18"/>
                <w:szCs w:val="18"/>
              </w:rPr>
            </w:pPr>
            <w:r w:rsidRPr="009B02A8">
              <w:rPr>
                <w:color w:val="000000" w:themeColor="text1"/>
                <w:sz w:val="18"/>
                <w:szCs w:val="18"/>
              </w:rPr>
              <w:t>Ethnicity</w:t>
            </w:r>
          </w:p>
        </w:tc>
        <w:tc>
          <w:tcPr>
            <w:tcW w:w="3305" w:type="dxa"/>
          </w:tcPr>
          <w:p w:rsidR="008E0754" w:rsidRPr="009B02A8" w:rsidRDefault="00DE7198" w:rsidP="00DE7198">
            <w:pPr>
              <w:outlineLvl w:val="3"/>
              <w:rPr>
                <w:b/>
                <w:color w:val="000000" w:themeColor="text1"/>
                <w:sz w:val="18"/>
                <w:szCs w:val="18"/>
              </w:rPr>
            </w:pPr>
            <w:r>
              <w:rPr>
                <w:b/>
                <w:sz w:val="18"/>
                <w:szCs w:val="18"/>
              </w:rPr>
              <w:t>§170.207 (f)(2</w:t>
            </w:r>
            <w:r w:rsidR="008E0754">
              <w:rPr>
                <w:b/>
                <w:sz w:val="18"/>
                <w:szCs w:val="18"/>
              </w:rPr>
              <w:t xml:space="preserve">) </w:t>
            </w:r>
            <w:r w:rsidR="008E0754" w:rsidRPr="008A57AB">
              <w:rPr>
                <w:sz w:val="18"/>
                <w:szCs w:val="18"/>
              </w:rPr>
              <w:t>mapped to</w:t>
            </w:r>
            <w:r w:rsidR="008E0754">
              <w:rPr>
                <w:b/>
                <w:sz w:val="18"/>
                <w:szCs w:val="18"/>
              </w:rPr>
              <w:t xml:space="preserve"> §170.207(</w:t>
            </w:r>
            <w:r w:rsidR="008E0754" w:rsidRPr="009B02A8">
              <w:rPr>
                <w:b/>
                <w:sz w:val="18"/>
                <w:szCs w:val="18"/>
              </w:rPr>
              <w:t>f)(</w:t>
            </w:r>
            <w:r>
              <w:rPr>
                <w:b/>
                <w:sz w:val="18"/>
                <w:szCs w:val="18"/>
              </w:rPr>
              <w:t>1</w:t>
            </w:r>
            <w:r w:rsidR="008E0754" w:rsidRPr="009B02A8">
              <w:rPr>
                <w:b/>
                <w:sz w:val="18"/>
                <w:szCs w:val="18"/>
              </w:rPr>
              <w:t>)</w:t>
            </w:r>
            <w:r w:rsidR="008E0754">
              <w:rPr>
                <w:b/>
                <w:sz w:val="18"/>
                <w:szCs w:val="18"/>
              </w:rPr>
              <w:t>; §170.207(f)(2)</w:t>
            </w:r>
          </w:p>
        </w:tc>
      </w:tr>
      <w:tr w:rsidR="008E0754" w:rsidRPr="00E074CB" w:rsidTr="00975BB3">
        <w:sdt>
          <w:sdtPr>
            <w:rPr>
              <w:sz w:val="18"/>
              <w:szCs w:val="18"/>
            </w:rPr>
            <w:id w:val="-1393269526"/>
            <w14:checkbox>
              <w14:checked w14:val="0"/>
              <w14:checkedState w14:val="2612" w14:font="Arial Unicode MS"/>
              <w14:uncheckedState w14:val="2610" w14:font="Arial Unicode MS"/>
            </w14:checkbox>
          </w:sdtPr>
          <w:sdtEndPr/>
          <w:sdtContent>
            <w:tc>
              <w:tcPr>
                <w:tcW w:w="445" w:type="dxa"/>
              </w:tcPr>
              <w:p w:rsidR="008E0754" w:rsidRPr="009B02A8" w:rsidRDefault="008E0754" w:rsidP="00975BB3">
                <w:pPr>
                  <w:rPr>
                    <w:sz w:val="18"/>
                    <w:szCs w:val="18"/>
                  </w:rPr>
                </w:pPr>
                <w:r w:rsidRPr="009B02A8">
                  <w:rPr>
                    <w:rFonts w:ascii="MS Gothic" w:eastAsia="MS Gothic" w:hAnsi="MS Gothic" w:hint="eastAsia"/>
                    <w:sz w:val="18"/>
                    <w:szCs w:val="18"/>
                  </w:rPr>
                  <w:t>☐</w:t>
                </w:r>
              </w:p>
            </w:tc>
          </w:sdtContent>
        </w:sdt>
        <w:tc>
          <w:tcPr>
            <w:tcW w:w="2044" w:type="dxa"/>
          </w:tcPr>
          <w:p w:rsidR="008E0754" w:rsidRPr="009B02A8" w:rsidRDefault="008E0754" w:rsidP="00975BB3">
            <w:pPr>
              <w:spacing w:line="360" w:lineRule="auto"/>
              <w:rPr>
                <w:color w:val="000000" w:themeColor="text1"/>
                <w:sz w:val="18"/>
                <w:szCs w:val="18"/>
              </w:rPr>
            </w:pPr>
          </w:p>
        </w:tc>
        <w:tc>
          <w:tcPr>
            <w:tcW w:w="2836" w:type="dxa"/>
          </w:tcPr>
          <w:p w:rsidR="008E0754" w:rsidRPr="009B02A8" w:rsidRDefault="008E0754" w:rsidP="00975BB3">
            <w:pPr>
              <w:spacing w:line="360" w:lineRule="auto"/>
              <w:rPr>
                <w:color w:val="000000" w:themeColor="text1"/>
                <w:sz w:val="18"/>
                <w:szCs w:val="18"/>
              </w:rPr>
            </w:pPr>
            <w:r w:rsidRPr="009B02A8">
              <w:rPr>
                <w:color w:val="000000" w:themeColor="text1"/>
                <w:sz w:val="18"/>
                <w:szCs w:val="18"/>
              </w:rPr>
              <w:t>Preferred Language</w:t>
            </w:r>
          </w:p>
        </w:tc>
        <w:tc>
          <w:tcPr>
            <w:tcW w:w="3305" w:type="dxa"/>
          </w:tcPr>
          <w:p w:rsidR="008E0754" w:rsidRPr="009B02A8" w:rsidRDefault="008E0754" w:rsidP="00975BB3">
            <w:pPr>
              <w:outlineLvl w:val="3"/>
              <w:rPr>
                <w:sz w:val="18"/>
                <w:szCs w:val="18"/>
              </w:rPr>
            </w:pPr>
            <w:r w:rsidRPr="009B02A8">
              <w:rPr>
                <w:b/>
                <w:sz w:val="18"/>
                <w:szCs w:val="18"/>
              </w:rPr>
              <w:t xml:space="preserve">§170.207 (g)(2) </w:t>
            </w:r>
            <w:r w:rsidRPr="009B02A8">
              <w:rPr>
                <w:sz w:val="18"/>
                <w:szCs w:val="18"/>
              </w:rPr>
              <w:t xml:space="preserve"> </w:t>
            </w:r>
          </w:p>
          <w:p w:rsidR="008E0754" w:rsidRPr="009B02A8" w:rsidRDefault="008E0754" w:rsidP="00975BB3">
            <w:pPr>
              <w:outlineLvl w:val="3"/>
              <w:rPr>
                <w:b/>
                <w:color w:val="000000" w:themeColor="text1"/>
                <w:sz w:val="18"/>
                <w:szCs w:val="18"/>
              </w:rPr>
            </w:pPr>
          </w:p>
        </w:tc>
      </w:tr>
      <w:tr w:rsidR="008E0754" w:rsidRPr="00E074CB" w:rsidTr="00975BB3">
        <w:sdt>
          <w:sdtPr>
            <w:rPr>
              <w:sz w:val="18"/>
              <w:szCs w:val="18"/>
            </w:rPr>
            <w:id w:val="-1121293556"/>
            <w14:checkbox>
              <w14:checked w14:val="0"/>
              <w14:checkedState w14:val="2612" w14:font="Arial Unicode MS"/>
              <w14:uncheckedState w14:val="2610" w14:font="Arial Unicode MS"/>
            </w14:checkbox>
          </w:sdtPr>
          <w:sdtEndPr/>
          <w:sdtContent>
            <w:tc>
              <w:tcPr>
                <w:tcW w:w="445" w:type="dxa"/>
              </w:tcPr>
              <w:p w:rsidR="008E0754" w:rsidRPr="009B02A8" w:rsidRDefault="008E0754" w:rsidP="00975BB3">
                <w:pPr>
                  <w:rPr>
                    <w:sz w:val="18"/>
                    <w:szCs w:val="18"/>
                  </w:rPr>
                </w:pPr>
                <w:r w:rsidRPr="009B02A8">
                  <w:rPr>
                    <w:rFonts w:ascii="MS Gothic" w:eastAsia="MS Gothic" w:hAnsi="MS Gothic" w:hint="eastAsia"/>
                    <w:sz w:val="18"/>
                    <w:szCs w:val="18"/>
                  </w:rPr>
                  <w:t>☐</w:t>
                </w:r>
              </w:p>
            </w:tc>
          </w:sdtContent>
        </w:sdt>
        <w:tc>
          <w:tcPr>
            <w:tcW w:w="2044" w:type="dxa"/>
          </w:tcPr>
          <w:p w:rsidR="008E0754" w:rsidRPr="009B02A8" w:rsidRDefault="008E0754" w:rsidP="00975BB3">
            <w:pPr>
              <w:spacing w:line="360" w:lineRule="auto"/>
              <w:rPr>
                <w:color w:val="000000" w:themeColor="text1"/>
                <w:sz w:val="18"/>
                <w:szCs w:val="18"/>
              </w:rPr>
            </w:pPr>
          </w:p>
        </w:tc>
        <w:tc>
          <w:tcPr>
            <w:tcW w:w="2836" w:type="dxa"/>
          </w:tcPr>
          <w:p w:rsidR="008E0754" w:rsidRPr="009B02A8" w:rsidRDefault="008E0754" w:rsidP="00975BB3">
            <w:pPr>
              <w:spacing w:line="360" w:lineRule="auto"/>
              <w:rPr>
                <w:color w:val="000000" w:themeColor="text1"/>
                <w:sz w:val="18"/>
                <w:szCs w:val="18"/>
              </w:rPr>
            </w:pPr>
            <w:r w:rsidRPr="009B02A8">
              <w:rPr>
                <w:color w:val="000000" w:themeColor="text1"/>
                <w:sz w:val="18"/>
                <w:szCs w:val="18"/>
              </w:rPr>
              <w:t>Smoking Status</w:t>
            </w:r>
          </w:p>
        </w:tc>
        <w:tc>
          <w:tcPr>
            <w:tcW w:w="3305" w:type="dxa"/>
          </w:tcPr>
          <w:p w:rsidR="008E0754" w:rsidRPr="009B02A8" w:rsidRDefault="008E0754" w:rsidP="00975BB3">
            <w:pPr>
              <w:outlineLvl w:val="3"/>
              <w:rPr>
                <w:sz w:val="18"/>
                <w:szCs w:val="18"/>
              </w:rPr>
            </w:pPr>
            <w:r w:rsidRPr="009B02A8">
              <w:rPr>
                <w:b/>
                <w:sz w:val="18"/>
                <w:szCs w:val="18"/>
              </w:rPr>
              <w:t xml:space="preserve">§170.207 (h) </w:t>
            </w:r>
          </w:p>
          <w:p w:rsidR="008E0754" w:rsidRPr="009B02A8" w:rsidRDefault="008E0754" w:rsidP="00975BB3">
            <w:pPr>
              <w:rPr>
                <w:b/>
                <w:color w:val="000000" w:themeColor="text1"/>
                <w:sz w:val="18"/>
                <w:szCs w:val="18"/>
              </w:rPr>
            </w:pPr>
          </w:p>
        </w:tc>
      </w:tr>
      <w:tr w:rsidR="008E0754" w:rsidRPr="00A55F60" w:rsidTr="00975BB3">
        <w:sdt>
          <w:sdtPr>
            <w:rPr>
              <w:sz w:val="18"/>
              <w:szCs w:val="18"/>
            </w:rPr>
            <w:id w:val="348840782"/>
            <w14:checkbox>
              <w14:checked w14:val="0"/>
              <w14:checkedState w14:val="2612" w14:font="Arial Unicode MS"/>
              <w14:uncheckedState w14:val="2610" w14:font="Arial Unicode MS"/>
            </w14:checkbox>
          </w:sdtPr>
          <w:sdtEndPr/>
          <w:sdtContent>
            <w:tc>
              <w:tcPr>
                <w:tcW w:w="445" w:type="dxa"/>
              </w:tcPr>
              <w:p w:rsidR="008E0754" w:rsidRPr="009B02A8" w:rsidRDefault="008E0754" w:rsidP="00975BB3">
                <w:pPr>
                  <w:rPr>
                    <w:sz w:val="18"/>
                    <w:szCs w:val="18"/>
                  </w:rPr>
                </w:pPr>
                <w:r w:rsidRPr="009B02A8">
                  <w:rPr>
                    <w:rFonts w:ascii="MS Gothic" w:eastAsia="MS Gothic" w:hAnsi="MS Gothic" w:hint="eastAsia"/>
                    <w:sz w:val="18"/>
                    <w:szCs w:val="18"/>
                  </w:rPr>
                  <w:t>☐</w:t>
                </w:r>
              </w:p>
            </w:tc>
          </w:sdtContent>
        </w:sdt>
        <w:tc>
          <w:tcPr>
            <w:tcW w:w="2044" w:type="dxa"/>
          </w:tcPr>
          <w:p w:rsidR="008E0754" w:rsidRPr="009B02A8" w:rsidRDefault="008E0754" w:rsidP="00975BB3">
            <w:pPr>
              <w:spacing w:line="360" w:lineRule="auto"/>
              <w:rPr>
                <w:color w:val="000000" w:themeColor="text1"/>
                <w:sz w:val="18"/>
                <w:szCs w:val="18"/>
              </w:rPr>
            </w:pPr>
          </w:p>
        </w:tc>
        <w:tc>
          <w:tcPr>
            <w:tcW w:w="2836" w:type="dxa"/>
          </w:tcPr>
          <w:p w:rsidR="008E0754" w:rsidRPr="009B02A8" w:rsidRDefault="008E0754" w:rsidP="00975BB3">
            <w:pPr>
              <w:spacing w:line="360" w:lineRule="auto"/>
              <w:rPr>
                <w:color w:val="000000" w:themeColor="text1"/>
                <w:sz w:val="18"/>
                <w:szCs w:val="18"/>
              </w:rPr>
            </w:pPr>
            <w:r w:rsidRPr="009B02A8">
              <w:rPr>
                <w:color w:val="000000" w:themeColor="text1"/>
                <w:sz w:val="18"/>
                <w:szCs w:val="18"/>
              </w:rPr>
              <w:t xml:space="preserve">Problems </w:t>
            </w:r>
          </w:p>
        </w:tc>
        <w:tc>
          <w:tcPr>
            <w:tcW w:w="3305" w:type="dxa"/>
          </w:tcPr>
          <w:p w:rsidR="008E0754" w:rsidRPr="009B02A8" w:rsidRDefault="008E0754" w:rsidP="00975BB3">
            <w:pPr>
              <w:outlineLvl w:val="3"/>
              <w:rPr>
                <w:b/>
                <w:sz w:val="18"/>
                <w:szCs w:val="18"/>
              </w:rPr>
            </w:pPr>
            <w:r w:rsidRPr="009B02A8">
              <w:rPr>
                <w:b/>
                <w:sz w:val="18"/>
                <w:szCs w:val="18"/>
              </w:rPr>
              <w:t xml:space="preserve">§170.207 (a)(4) </w:t>
            </w:r>
          </w:p>
        </w:tc>
      </w:tr>
      <w:tr w:rsidR="008E0754" w:rsidRPr="00E074CB" w:rsidTr="00975BB3">
        <w:sdt>
          <w:sdtPr>
            <w:rPr>
              <w:sz w:val="18"/>
              <w:szCs w:val="18"/>
            </w:rPr>
            <w:id w:val="-252050175"/>
            <w14:checkbox>
              <w14:checked w14:val="0"/>
              <w14:checkedState w14:val="2612" w14:font="Arial Unicode MS"/>
              <w14:uncheckedState w14:val="2610" w14:font="Arial Unicode MS"/>
            </w14:checkbox>
          </w:sdtPr>
          <w:sdtEndPr/>
          <w:sdtContent>
            <w:tc>
              <w:tcPr>
                <w:tcW w:w="445" w:type="dxa"/>
              </w:tcPr>
              <w:p w:rsidR="008E0754" w:rsidRPr="009B02A8" w:rsidRDefault="008E0754" w:rsidP="00975BB3">
                <w:pPr>
                  <w:rPr>
                    <w:sz w:val="18"/>
                    <w:szCs w:val="18"/>
                  </w:rPr>
                </w:pPr>
                <w:r w:rsidRPr="009B02A8">
                  <w:rPr>
                    <w:rFonts w:ascii="MS Gothic" w:eastAsia="MS Gothic" w:hAnsi="MS Gothic" w:hint="eastAsia"/>
                    <w:sz w:val="18"/>
                    <w:szCs w:val="18"/>
                  </w:rPr>
                  <w:t>☐</w:t>
                </w:r>
              </w:p>
            </w:tc>
          </w:sdtContent>
        </w:sdt>
        <w:tc>
          <w:tcPr>
            <w:tcW w:w="2044" w:type="dxa"/>
          </w:tcPr>
          <w:p w:rsidR="008E0754" w:rsidRPr="009B02A8" w:rsidRDefault="008E0754" w:rsidP="00975BB3">
            <w:pPr>
              <w:spacing w:line="360" w:lineRule="auto"/>
              <w:rPr>
                <w:color w:val="000000" w:themeColor="text1"/>
                <w:sz w:val="18"/>
                <w:szCs w:val="18"/>
              </w:rPr>
            </w:pPr>
          </w:p>
        </w:tc>
        <w:tc>
          <w:tcPr>
            <w:tcW w:w="2836" w:type="dxa"/>
          </w:tcPr>
          <w:p w:rsidR="008E0754" w:rsidRPr="009B02A8" w:rsidRDefault="008E0754" w:rsidP="00975BB3">
            <w:pPr>
              <w:spacing w:line="360" w:lineRule="auto"/>
              <w:rPr>
                <w:color w:val="000000" w:themeColor="text1"/>
                <w:sz w:val="18"/>
                <w:szCs w:val="18"/>
              </w:rPr>
            </w:pPr>
            <w:r w:rsidRPr="009B02A8">
              <w:rPr>
                <w:color w:val="000000" w:themeColor="text1"/>
                <w:sz w:val="18"/>
                <w:szCs w:val="18"/>
              </w:rPr>
              <w:t>Medications</w:t>
            </w:r>
          </w:p>
        </w:tc>
        <w:tc>
          <w:tcPr>
            <w:tcW w:w="3305" w:type="dxa"/>
          </w:tcPr>
          <w:p w:rsidR="008E0754" w:rsidRPr="009B02A8" w:rsidRDefault="008E0754" w:rsidP="00975BB3">
            <w:pPr>
              <w:rPr>
                <w:b/>
                <w:color w:val="000000" w:themeColor="text1"/>
                <w:sz w:val="18"/>
                <w:szCs w:val="18"/>
              </w:rPr>
            </w:pPr>
            <w:r w:rsidRPr="009B02A8">
              <w:rPr>
                <w:b/>
                <w:sz w:val="18"/>
                <w:szCs w:val="18"/>
              </w:rPr>
              <w:t xml:space="preserve">§170.207 (d)(3) </w:t>
            </w:r>
          </w:p>
        </w:tc>
      </w:tr>
      <w:tr w:rsidR="008E0754" w:rsidRPr="00E074CB" w:rsidTr="00975BB3">
        <w:sdt>
          <w:sdtPr>
            <w:rPr>
              <w:sz w:val="18"/>
              <w:szCs w:val="18"/>
            </w:rPr>
            <w:id w:val="1289318140"/>
            <w14:checkbox>
              <w14:checked w14:val="0"/>
              <w14:checkedState w14:val="2612" w14:font="Arial Unicode MS"/>
              <w14:uncheckedState w14:val="2610" w14:font="Arial Unicode MS"/>
            </w14:checkbox>
          </w:sdtPr>
          <w:sdtEndPr/>
          <w:sdtContent>
            <w:tc>
              <w:tcPr>
                <w:tcW w:w="445" w:type="dxa"/>
              </w:tcPr>
              <w:p w:rsidR="008E0754" w:rsidRPr="009B02A8" w:rsidRDefault="008E0754" w:rsidP="00975BB3">
                <w:pPr>
                  <w:rPr>
                    <w:sz w:val="18"/>
                    <w:szCs w:val="18"/>
                  </w:rPr>
                </w:pPr>
                <w:r w:rsidRPr="009B02A8">
                  <w:rPr>
                    <w:rFonts w:ascii="MS Gothic" w:eastAsia="MS Gothic" w:hAnsi="MS Gothic" w:hint="eastAsia"/>
                    <w:sz w:val="18"/>
                    <w:szCs w:val="18"/>
                  </w:rPr>
                  <w:t>☐</w:t>
                </w:r>
              </w:p>
            </w:tc>
          </w:sdtContent>
        </w:sdt>
        <w:tc>
          <w:tcPr>
            <w:tcW w:w="2044" w:type="dxa"/>
          </w:tcPr>
          <w:p w:rsidR="008E0754" w:rsidRPr="009B02A8" w:rsidRDefault="008E0754" w:rsidP="00975BB3">
            <w:pPr>
              <w:spacing w:line="360" w:lineRule="auto"/>
              <w:rPr>
                <w:color w:val="000000" w:themeColor="text1"/>
                <w:sz w:val="18"/>
                <w:szCs w:val="18"/>
              </w:rPr>
            </w:pPr>
          </w:p>
        </w:tc>
        <w:tc>
          <w:tcPr>
            <w:tcW w:w="2836" w:type="dxa"/>
          </w:tcPr>
          <w:p w:rsidR="008E0754" w:rsidRPr="009B02A8" w:rsidRDefault="008E0754" w:rsidP="00975BB3">
            <w:pPr>
              <w:spacing w:line="360" w:lineRule="auto"/>
              <w:rPr>
                <w:color w:val="000000" w:themeColor="text1"/>
                <w:sz w:val="18"/>
                <w:szCs w:val="18"/>
              </w:rPr>
            </w:pPr>
            <w:r w:rsidRPr="009B02A8">
              <w:rPr>
                <w:color w:val="000000" w:themeColor="text1"/>
                <w:sz w:val="18"/>
                <w:szCs w:val="18"/>
              </w:rPr>
              <w:t>Allergies</w:t>
            </w:r>
          </w:p>
        </w:tc>
        <w:tc>
          <w:tcPr>
            <w:tcW w:w="3305" w:type="dxa"/>
          </w:tcPr>
          <w:p w:rsidR="008E0754" w:rsidRPr="009B02A8" w:rsidRDefault="008E0754" w:rsidP="00975BB3">
            <w:pPr>
              <w:rPr>
                <w:b/>
                <w:color w:val="000000" w:themeColor="text1"/>
                <w:sz w:val="18"/>
                <w:szCs w:val="18"/>
              </w:rPr>
            </w:pPr>
            <w:r w:rsidRPr="009B02A8">
              <w:rPr>
                <w:b/>
                <w:sz w:val="18"/>
                <w:szCs w:val="18"/>
              </w:rPr>
              <w:t xml:space="preserve">§170.207 (d)(3) </w:t>
            </w:r>
          </w:p>
        </w:tc>
      </w:tr>
      <w:tr w:rsidR="008E0754" w:rsidRPr="0017610B" w:rsidTr="00975BB3">
        <w:sdt>
          <w:sdtPr>
            <w:rPr>
              <w:sz w:val="18"/>
              <w:szCs w:val="18"/>
            </w:rPr>
            <w:id w:val="45730223"/>
            <w14:checkbox>
              <w14:checked w14:val="0"/>
              <w14:checkedState w14:val="2612" w14:font="Arial Unicode MS"/>
              <w14:uncheckedState w14:val="2610" w14:font="Arial Unicode MS"/>
            </w14:checkbox>
          </w:sdtPr>
          <w:sdtEndPr/>
          <w:sdtContent>
            <w:tc>
              <w:tcPr>
                <w:tcW w:w="445" w:type="dxa"/>
              </w:tcPr>
              <w:p w:rsidR="008E0754" w:rsidRPr="009B02A8" w:rsidRDefault="008E0754" w:rsidP="00975BB3">
                <w:pPr>
                  <w:rPr>
                    <w:sz w:val="18"/>
                    <w:szCs w:val="18"/>
                  </w:rPr>
                </w:pPr>
                <w:r w:rsidRPr="009B02A8">
                  <w:rPr>
                    <w:rFonts w:ascii="MS Gothic" w:eastAsia="MS Gothic" w:hAnsi="MS Gothic" w:hint="eastAsia"/>
                    <w:sz w:val="18"/>
                    <w:szCs w:val="18"/>
                  </w:rPr>
                  <w:t>☐</w:t>
                </w:r>
              </w:p>
            </w:tc>
          </w:sdtContent>
        </w:sdt>
        <w:tc>
          <w:tcPr>
            <w:tcW w:w="2044" w:type="dxa"/>
          </w:tcPr>
          <w:p w:rsidR="008E0754" w:rsidRPr="009B02A8" w:rsidRDefault="008E0754" w:rsidP="00975BB3">
            <w:pPr>
              <w:spacing w:line="360" w:lineRule="auto"/>
              <w:rPr>
                <w:color w:val="000000" w:themeColor="text1"/>
                <w:sz w:val="18"/>
                <w:szCs w:val="18"/>
              </w:rPr>
            </w:pPr>
          </w:p>
        </w:tc>
        <w:tc>
          <w:tcPr>
            <w:tcW w:w="2836" w:type="dxa"/>
          </w:tcPr>
          <w:p w:rsidR="008E0754" w:rsidRPr="009B02A8" w:rsidRDefault="008E0754" w:rsidP="00975BB3">
            <w:pPr>
              <w:spacing w:line="360" w:lineRule="auto"/>
              <w:rPr>
                <w:color w:val="000000" w:themeColor="text1"/>
                <w:sz w:val="18"/>
                <w:szCs w:val="18"/>
              </w:rPr>
            </w:pPr>
            <w:r w:rsidRPr="009B02A8">
              <w:rPr>
                <w:color w:val="000000" w:themeColor="text1"/>
                <w:sz w:val="18"/>
                <w:szCs w:val="18"/>
              </w:rPr>
              <w:t>Lab Tests</w:t>
            </w:r>
          </w:p>
        </w:tc>
        <w:tc>
          <w:tcPr>
            <w:tcW w:w="3305" w:type="dxa"/>
          </w:tcPr>
          <w:p w:rsidR="008E0754" w:rsidRPr="009B02A8" w:rsidRDefault="008E0754" w:rsidP="00975BB3">
            <w:pPr>
              <w:rPr>
                <w:b/>
                <w:color w:val="000000" w:themeColor="text1"/>
                <w:sz w:val="18"/>
                <w:szCs w:val="18"/>
              </w:rPr>
            </w:pPr>
            <w:r w:rsidRPr="009B02A8">
              <w:rPr>
                <w:b/>
                <w:sz w:val="18"/>
                <w:szCs w:val="18"/>
              </w:rPr>
              <w:t xml:space="preserve">§170.207 (m)(1) </w:t>
            </w:r>
          </w:p>
        </w:tc>
      </w:tr>
      <w:tr w:rsidR="008E0754" w:rsidRPr="00001E37" w:rsidTr="00975BB3">
        <w:sdt>
          <w:sdtPr>
            <w:rPr>
              <w:sz w:val="18"/>
              <w:szCs w:val="18"/>
            </w:rPr>
            <w:id w:val="-1382542260"/>
            <w14:checkbox>
              <w14:checked w14:val="0"/>
              <w14:checkedState w14:val="2612" w14:font="Arial Unicode MS"/>
              <w14:uncheckedState w14:val="2610" w14:font="Arial Unicode MS"/>
            </w14:checkbox>
          </w:sdtPr>
          <w:sdtEndPr/>
          <w:sdtContent>
            <w:tc>
              <w:tcPr>
                <w:tcW w:w="445" w:type="dxa"/>
              </w:tcPr>
              <w:p w:rsidR="008E0754" w:rsidRPr="009B02A8" w:rsidRDefault="008E0754" w:rsidP="00975BB3">
                <w:pPr>
                  <w:rPr>
                    <w:sz w:val="18"/>
                    <w:szCs w:val="18"/>
                  </w:rPr>
                </w:pPr>
                <w:r w:rsidRPr="009B02A8">
                  <w:rPr>
                    <w:rFonts w:ascii="MS Gothic" w:eastAsia="MS Gothic" w:hAnsi="MS Gothic" w:hint="eastAsia"/>
                    <w:sz w:val="18"/>
                    <w:szCs w:val="18"/>
                  </w:rPr>
                  <w:t>☐</w:t>
                </w:r>
              </w:p>
            </w:tc>
          </w:sdtContent>
        </w:sdt>
        <w:tc>
          <w:tcPr>
            <w:tcW w:w="2044" w:type="dxa"/>
          </w:tcPr>
          <w:p w:rsidR="008E0754" w:rsidRPr="009B02A8" w:rsidRDefault="008E0754" w:rsidP="00975BB3">
            <w:pPr>
              <w:spacing w:line="360" w:lineRule="auto"/>
              <w:rPr>
                <w:color w:val="000000" w:themeColor="text1"/>
                <w:sz w:val="18"/>
                <w:szCs w:val="18"/>
              </w:rPr>
            </w:pPr>
          </w:p>
        </w:tc>
        <w:tc>
          <w:tcPr>
            <w:tcW w:w="2836" w:type="dxa"/>
          </w:tcPr>
          <w:p w:rsidR="008E0754" w:rsidRPr="009B02A8" w:rsidRDefault="008E0754" w:rsidP="00975BB3">
            <w:pPr>
              <w:spacing w:line="360" w:lineRule="auto"/>
              <w:rPr>
                <w:color w:val="000000" w:themeColor="text1"/>
                <w:sz w:val="18"/>
                <w:szCs w:val="18"/>
              </w:rPr>
            </w:pPr>
            <w:r w:rsidRPr="009B02A8">
              <w:rPr>
                <w:color w:val="000000" w:themeColor="text1"/>
                <w:sz w:val="18"/>
                <w:szCs w:val="18"/>
              </w:rPr>
              <w:t>Lab Values(s)/Results</w:t>
            </w:r>
          </w:p>
        </w:tc>
        <w:tc>
          <w:tcPr>
            <w:tcW w:w="3305" w:type="dxa"/>
          </w:tcPr>
          <w:p w:rsidR="008E0754" w:rsidRPr="009B02A8" w:rsidRDefault="008E0754" w:rsidP="00975BB3">
            <w:pPr>
              <w:outlineLvl w:val="3"/>
              <w:rPr>
                <w:b/>
                <w:sz w:val="18"/>
                <w:szCs w:val="18"/>
              </w:rPr>
            </w:pPr>
            <w:r w:rsidRPr="009B02A8">
              <w:rPr>
                <w:b/>
                <w:sz w:val="18"/>
                <w:szCs w:val="18"/>
              </w:rPr>
              <w:t>&lt;Not applicable&gt;</w:t>
            </w:r>
          </w:p>
        </w:tc>
      </w:tr>
      <w:tr w:rsidR="008E0754" w:rsidRPr="00E074CB" w:rsidTr="00975BB3">
        <w:sdt>
          <w:sdtPr>
            <w:rPr>
              <w:sz w:val="18"/>
              <w:szCs w:val="18"/>
            </w:rPr>
            <w:id w:val="-382789446"/>
            <w14:checkbox>
              <w14:checked w14:val="0"/>
              <w14:checkedState w14:val="2612" w14:font="Arial Unicode MS"/>
              <w14:uncheckedState w14:val="2610" w14:font="Arial Unicode MS"/>
            </w14:checkbox>
          </w:sdtPr>
          <w:sdtEndPr/>
          <w:sdtContent>
            <w:tc>
              <w:tcPr>
                <w:tcW w:w="445" w:type="dxa"/>
              </w:tcPr>
              <w:p w:rsidR="008E0754" w:rsidRPr="009B02A8" w:rsidRDefault="008E0754" w:rsidP="00975BB3">
                <w:pPr>
                  <w:rPr>
                    <w:sz w:val="18"/>
                    <w:szCs w:val="18"/>
                  </w:rPr>
                </w:pPr>
                <w:r w:rsidRPr="009B02A8">
                  <w:rPr>
                    <w:rFonts w:ascii="MS Gothic" w:eastAsia="MS Gothic" w:hAnsi="MS Gothic" w:hint="eastAsia"/>
                    <w:sz w:val="18"/>
                    <w:szCs w:val="18"/>
                  </w:rPr>
                  <w:t>☐</w:t>
                </w:r>
              </w:p>
            </w:tc>
          </w:sdtContent>
        </w:sdt>
        <w:tc>
          <w:tcPr>
            <w:tcW w:w="2044" w:type="dxa"/>
          </w:tcPr>
          <w:p w:rsidR="008E0754" w:rsidRPr="009B02A8" w:rsidRDefault="008E0754" w:rsidP="00975BB3">
            <w:pPr>
              <w:spacing w:line="360" w:lineRule="auto"/>
              <w:rPr>
                <w:color w:val="000000" w:themeColor="text1"/>
                <w:sz w:val="18"/>
                <w:szCs w:val="18"/>
              </w:rPr>
            </w:pPr>
          </w:p>
        </w:tc>
        <w:tc>
          <w:tcPr>
            <w:tcW w:w="2836" w:type="dxa"/>
          </w:tcPr>
          <w:p w:rsidR="008E0754" w:rsidRPr="009B02A8" w:rsidRDefault="008E0754" w:rsidP="00975BB3">
            <w:pPr>
              <w:spacing w:line="360" w:lineRule="auto"/>
              <w:rPr>
                <w:color w:val="000000" w:themeColor="text1"/>
                <w:sz w:val="18"/>
                <w:szCs w:val="18"/>
              </w:rPr>
            </w:pPr>
            <w:r w:rsidRPr="009B02A8">
              <w:rPr>
                <w:color w:val="000000" w:themeColor="text1"/>
                <w:sz w:val="18"/>
                <w:szCs w:val="18"/>
              </w:rPr>
              <w:t>Vital Signs</w:t>
            </w:r>
          </w:p>
        </w:tc>
        <w:tc>
          <w:tcPr>
            <w:tcW w:w="3305" w:type="dxa"/>
          </w:tcPr>
          <w:p w:rsidR="008E0754" w:rsidRPr="009B02A8" w:rsidRDefault="008E0754" w:rsidP="00975BB3">
            <w:pPr>
              <w:outlineLvl w:val="3"/>
              <w:rPr>
                <w:sz w:val="18"/>
                <w:szCs w:val="18"/>
              </w:rPr>
            </w:pPr>
            <w:r w:rsidRPr="009B02A8">
              <w:rPr>
                <w:b/>
                <w:sz w:val="18"/>
                <w:szCs w:val="18"/>
              </w:rPr>
              <w:t>§170.207 (k)(1), §170.207 (m)(1)</w:t>
            </w:r>
          </w:p>
          <w:p w:rsidR="008E0754" w:rsidRPr="009B02A8" w:rsidRDefault="008E0754" w:rsidP="00975BB3">
            <w:pPr>
              <w:rPr>
                <w:b/>
                <w:color w:val="000000" w:themeColor="text1"/>
                <w:sz w:val="18"/>
                <w:szCs w:val="18"/>
              </w:rPr>
            </w:pPr>
          </w:p>
        </w:tc>
      </w:tr>
      <w:tr w:rsidR="008E0754" w:rsidRPr="00E074CB" w:rsidTr="00975BB3">
        <w:sdt>
          <w:sdtPr>
            <w:rPr>
              <w:sz w:val="18"/>
              <w:szCs w:val="18"/>
            </w:rPr>
            <w:id w:val="-713654204"/>
            <w14:checkbox>
              <w14:checked w14:val="0"/>
              <w14:checkedState w14:val="2612" w14:font="Arial Unicode MS"/>
              <w14:uncheckedState w14:val="2610" w14:font="Arial Unicode MS"/>
            </w14:checkbox>
          </w:sdtPr>
          <w:sdtEndPr/>
          <w:sdtContent>
            <w:tc>
              <w:tcPr>
                <w:tcW w:w="445" w:type="dxa"/>
              </w:tcPr>
              <w:p w:rsidR="008E0754" w:rsidRPr="009B02A8" w:rsidRDefault="008E0754" w:rsidP="00975BB3">
                <w:pPr>
                  <w:rPr>
                    <w:sz w:val="18"/>
                    <w:szCs w:val="18"/>
                  </w:rPr>
                </w:pPr>
                <w:r w:rsidRPr="009B02A8">
                  <w:rPr>
                    <w:rFonts w:ascii="MS Gothic" w:eastAsia="MS Gothic" w:hAnsi="MS Gothic" w:hint="eastAsia"/>
                    <w:sz w:val="18"/>
                    <w:szCs w:val="18"/>
                  </w:rPr>
                  <w:t>☐</w:t>
                </w:r>
              </w:p>
            </w:tc>
          </w:sdtContent>
        </w:sdt>
        <w:tc>
          <w:tcPr>
            <w:tcW w:w="2044" w:type="dxa"/>
          </w:tcPr>
          <w:p w:rsidR="008E0754" w:rsidRPr="009B02A8" w:rsidRDefault="008E0754" w:rsidP="00975BB3">
            <w:pPr>
              <w:spacing w:line="360" w:lineRule="auto"/>
              <w:rPr>
                <w:color w:val="000000" w:themeColor="text1"/>
                <w:sz w:val="18"/>
                <w:szCs w:val="18"/>
              </w:rPr>
            </w:pPr>
          </w:p>
        </w:tc>
        <w:tc>
          <w:tcPr>
            <w:tcW w:w="2836" w:type="dxa"/>
          </w:tcPr>
          <w:p w:rsidR="008E0754" w:rsidRPr="009B02A8" w:rsidRDefault="008E0754" w:rsidP="00975BB3">
            <w:pPr>
              <w:spacing w:line="360" w:lineRule="auto"/>
              <w:rPr>
                <w:color w:val="000000" w:themeColor="text1"/>
                <w:sz w:val="18"/>
                <w:szCs w:val="18"/>
              </w:rPr>
            </w:pPr>
            <w:r w:rsidRPr="009B02A8">
              <w:rPr>
                <w:color w:val="000000" w:themeColor="text1"/>
                <w:sz w:val="18"/>
                <w:szCs w:val="18"/>
              </w:rPr>
              <w:t>BMI (Optional)</w:t>
            </w:r>
          </w:p>
        </w:tc>
        <w:tc>
          <w:tcPr>
            <w:tcW w:w="3305" w:type="dxa"/>
          </w:tcPr>
          <w:p w:rsidR="008E0754" w:rsidRPr="009B02A8" w:rsidRDefault="008E0754" w:rsidP="00975BB3">
            <w:pPr>
              <w:outlineLvl w:val="3"/>
              <w:rPr>
                <w:b/>
                <w:color w:val="000000" w:themeColor="text1"/>
                <w:sz w:val="18"/>
                <w:szCs w:val="18"/>
              </w:rPr>
            </w:pPr>
            <w:r w:rsidRPr="009B02A8">
              <w:rPr>
                <w:b/>
                <w:sz w:val="18"/>
                <w:szCs w:val="18"/>
              </w:rPr>
              <w:t>§170.207 (c)(3), §170.207 (m)(1)</w:t>
            </w:r>
          </w:p>
        </w:tc>
      </w:tr>
      <w:tr w:rsidR="008E0754" w:rsidRPr="00A55F60" w:rsidTr="00975BB3">
        <w:sdt>
          <w:sdtPr>
            <w:rPr>
              <w:sz w:val="18"/>
              <w:szCs w:val="18"/>
            </w:rPr>
            <w:id w:val="1621797029"/>
            <w14:checkbox>
              <w14:checked w14:val="0"/>
              <w14:checkedState w14:val="2612" w14:font="Arial Unicode MS"/>
              <w14:uncheckedState w14:val="2610" w14:font="Arial Unicode MS"/>
            </w14:checkbox>
          </w:sdtPr>
          <w:sdtEndPr/>
          <w:sdtContent>
            <w:tc>
              <w:tcPr>
                <w:tcW w:w="445" w:type="dxa"/>
              </w:tcPr>
              <w:p w:rsidR="008E0754" w:rsidRPr="009B02A8" w:rsidRDefault="008E0754" w:rsidP="00975BB3">
                <w:pPr>
                  <w:rPr>
                    <w:sz w:val="18"/>
                    <w:szCs w:val="18"/>
                  </w:rPr>
                </w:pPr>
                <w:r w:rsidRPr="009B02A8">
                  <w:rPr>
                    <w:rFonts w:ascii="MS Gothic" w:eastAsia="MS Gothic" w:hAnsi="MS Gothic" w:hint="eastAsia"/>
                    <w:sz w:val="18"/>
                    <w:szCs w:val="18"/>
                  </w:rPr>
                  <w:t>☐</w:t>
                </w:r>
              </w:p>
            </w:tc>
          </w:sdtContent>
        </w:sdt>
        <w:tc>
          <w:tcPr>
            <w:tcW w:w="2044" w:type="dxa"/>
          </w:tcPr>
          <w:p w:rsidR="008E0754" w:rsidRPr="009B02A8" w:rsidRDefault="008E0754" w:rsidP="00975BB3">
            <w:pPr>
              <w:spacing w:line="360" w:lineRule="auto"/>
              <w:rPr>
                <w:color w:val="000000" w:themeColor="text1"/>
                <w:sz w:val="18"/>
                <w:szCs w:val="18"/>
              </w:rPr>
            </w:pPr>
          </w:p>
        </w:tc>
        <w:tc>
          <w:tcPr>
            <w:tcW w:w="2836" w:type="dxa"/>
          </w:tcPr>
          <w:p w:rsidR="008E0754" w:rsidRPr="009B02A8" w:rsidRDefault="008E0754" w:rsidP="00975BB3">
            <w:pPr>
              <w:spacing w:line="360" w:lineRule="auto"/>
              <w:rPr>
                <w:color w:val="000000" w:themeColor="text1"/>
                <w:sz w:val="18"/>
                <w:szCs w:val="18"/>
              </w:rPr>
            </w:pPr>
            <w:r w:rsidRPr="009B02A8">
              <w:rPr>
                <w:color w:val="000000" w:themeColor="text1"/>
                <w:sz w:val="18"/>
                <w:szCs w:val="18"/>
              </w:rPr>
              <w:t>Procedures</w:t>
            </w:r>
          </w:p>
        </w:tc>
        <w:tc>
          <w:tcPr>
            <w:tcW w:w="3305" w:type="dxa"/>
          </w:tcPr>
          <w:p w:rsidR="008E0754" w:rsidRPr="009B02A8" w:rsidRDefault="008E0754" w:rsidP="00975BB3">
            <w:pPr>
              <w:outlineLvl w:val="3"/>
              <w:rPr>
                <w:sz w:val="18"/>
                <w:szCs w:val="18"/>
              </w:rPr>
            </w:pPr>
            <w:r w:rsidRPr="009B02A8">
              <w:rPr>
                <w:b/>
                <w:sz w:val="18"/>
                <w:szCs w:val="18"/>
              </w:rPr>
              <w:t xml:space="preserve">§170.207 (a)(4) </w:t>
            </w:r>
          </w:p>
          <w:p w:rsidR="008E0754" w:rsidRPr="009B02A8" w:rsidRDefault="008E0754" w:rsidP="00975BB3">
            <w:pPr>
              <w:outlineLvl w:val="3"/>
              <w:rPr>
                <w:b/>
                <w:sz w:val="18"/>
                <w:szCs w:val="18"/>
              </w:rPr>
            </w:pPr>
            <w:r w:rsidRPr="009B02A8">
              <w:rPr>
                <w:b/>
                <w:sz w:val="18"/>
                <w:szCs w:val="18"/>
              </w:rPr>
              <w:t xml:space="preserve">§170.207 (b)(2) </w:t>
            </w:r>
          </w:p>
        </w:tc>
      </w:tr>
      <w:tr w:rsidR="008E0754" w:rsidRPr="00E074CB" w:rsidTr="00975BB3">
        <w:sdt>
          <w:sdtPr>
            <w:rPr>
              <w:sz w:val="18"/>
              <w:szCs w:val="18"/>
            </w:rPr>
            <w:id w:val="564684389"/>
            <w14:checkbox>
              <w14:checked w14:val="0"/>
              <w14:checkedState w14:val="2612" w14:font="Arial Unicode MS"/>
              <w14:uncheckedState w14:val="2610" w14:font="Arial Unicode MS"/>
            </w14:checkbox>
          </w:sdtPr>
          <w:sdtEndPr/>
          <w:sdtContent>
            <w:tc>
              <w:tcPr>
                <w:tcW w:w="445" w:type="dxa"/>
              </w:tcPr>
              <w:p w:rsidR="008E0754" w:rsidRPr="009B02A8" w:rsidRDefault="008E0754" w:rsidP="00975BB3">
                <w:pPr>
                  <w:rPr>
                    <w:sz w:val="18"/>
                    <w:szCs w:val="18"/>
                  </w:rPr>
                </w:pPr>
                <w:r w:rsidRPr="009B02A8">
                  <w:rPr>
                    <w:rFonts w:ascii="MS Gothic" w:eastAsia="MS Gothic" w:hAnsi="MS Gothic" w:hint="eastAsia"/>
                    <w:sz w:val="18"/>
                    <w:szCs w:val="18"/>
                  </w:rPr>
                  <w:t>☐</w:t>
                </w:r>
              </w:p>
            </w:tc>
          </w:sdtContent>
        </w:sdt>
        <w:tc>
          <w:tcPr>
            <w:tcW w:w="2044" w:type="dxa"/>
          </w:tcPr>
          <w:p w:rsidR="008E0754" w:rsidRPr="009B02A8" w:rsidRDefault="008E0754" w:rsidP="00975BB3">
            <w:pPr>
              <w:spacing w:line="360" w:lineRule="auto"/>
              <w:rPr>
                <w:color w:val="000000" w:themeColor="text1"/>
                <w:sz w:val="18"/>
                <w:szCs w:val="18"/>
              </w:rPr>
            </w:pPr>
          </w:p>
        </w:tc>
        <w:tc>
          <w:tcPr>
            <w:tcW w:w="2836" w:type="dxa"/>
          </w:tcPr>
          <w:p w:rsidR="008E0754" w:rsidRPr="009B02A8" w:rsidRDefault="008E0754" w:rsidP="00975BB3">
            <w:pPr>
              <w:spacing w:line="360" w:lineRule="auto"/>
              <w:rPr>
                <w:color w:val="000000" w:themeColor="text1"/>
                <w:sz w:val="18"/>
                <w:szCs w:val="18"/>
              </w:rPr>
            </w:pPr>
            <w:r w:rsidRPr="009B02A8">
              <w:rPr>
                <w:color w:val="000000" w:themeColor="text1"/>
                <w:sz w:val="18"/>
                <w:szCs w:val="18"/>
              </w:rPr>
              <w:t>Procedures (Optional: for dental systems)</w:t>
            </w:r>
          </w:p>
        </w:tc>
        <w:tc>
          <w:tcPr>
            <w:tcW w:w="3305" w:type="dxa"/>
          </w:tcPr>
          <w:p w:rsidR="008E0754" w:rsidRPr="009B02A8" w:rsidRDefault="008E0754" w:rsidP="00975BB3">
            <w:pPr>
              <w:outlineLvl w:val="3"/>
              <w:rPr>
                <w:b/>
                <w:color w:val="000000" w:themeColor="text1"/>
                <w:sz w:val="18"/>
                <w:szCs w:val="18"/>
              </w:rPr>
            </w:pPr>
            <w:r w:rsidRPr="009B02A8">
              <w:rPr>
                <w:b/>
                <w:sz w:val="18"/>
                <w:szCs w:val="18"/>
              </w:rPr>
              <w:t xml:space="preserve">§170.207 (b)(3) </w:t>
            </w:r>
          </w:p>
        </w:tc>
      </w:tr>
      <w:tr w:rsidR="008E0754" w:rsidRPr="00E074CB" w:rsidTr="00975BB3">
        <w:sdt>
          <w:sdtPr>
            <w:rPr>
              <w:sz w:val="18"/>
              <w:szCs w:val="18"/>
            </w:rPr>
            <w:id w:val="1992279599"/>
            <w14:checkbox>
              <w14:checked w14:val="0"/>
              <w14:checkedState w14:val="2612" w14:font="Arial Unicode MS"/>
              <w14:uncheckedState w14:val="2610" w14:font="Arial Unicode MS"/>
            </w14:checkbox>
          </w:sdtPr>
          <w:sdtEndPr/>
          <w:sdtContent>
            <w:tc>
              <w:tcPr>
                <w:tcW w:w="445" w:type="dxa"/>
              </w:tcPr>
              <w:p w:rsidR="008E0754" w:rsidRPr="009B02A8" w:rsidRDefault="008E0754" w:rsidP="00975BB3">
                <w:pPr>
                  <w:rPr>
                    <w:sz w:val="18"/>
                    <w:szCs w:val="18"/>
                  </w:rPr>
                </w:pPr>
                <w:r w:rsidRPr="009B02A8">
                  <w:rPr>
                    <w:rFonts w:ascii="MS Gothic" w:eastAsia="MS Gothic" w:hAnsi="MS Gothic" w:hint="eastAsia"/>
                    <w:sz w:val="18"/>
                    <w:szCs w:val="18"/>
                  </w:rPr>
                  <w:t>☐</w:t>
                </w:r>
              </w:p>
            </w:tc>
          </w:sdtContent>
        </w:sdt>
        <w:tc>
          <w:tcPr>
            <w:tcW w:w="2044" w:type="dxa"/>
          </w:tcPr>
          <w:p w:rsidR="008E0754" w:rsidRPr="009B02A8" w:rsidRDefault="008E0754" w:rsidP="00975BB3">
            <w:pPr>
              <w:spacing w:line="360" w:lineRule="auto"/>
              <w:rPr>
                <w:color w:val="000000" w:themeColor="text1"/>
                <w:sz w:val="18"/>
                <w:szCs w:val="18"/>
              </w:rPr>
            </w:pPr>
          </w:p>
        </w:tc>
        <w:tc>
          <w:tcPr>
            <w:tcW w:w="2836" w:type="dxa"/>
          </w:tcPr>
          <w:p w:rsidR="008E0754" w:rsidRPr="009B02A8" w:rsidRDefault="008E0754" w:rsidP="00975BB3">
            <w:pPr>
              <w:spacing w:line="360" w:lineRule="auto"/>
              <w:rPr>
                <w:color w:val="000000" w:themeColor="text1"/>
                <w:sz w:val="18"/>
                <w:szCs w:val="18"/>
              </w:rPr>
            </w:pPr>
            <w:r w:rsidRPr="009B02A8">
              <w:rPr>
                <w:color w:val="000000" w:themeColor="text1"/>
                <w:sz w:val="18"/>
                <w:szCs w:val="18"/>
              </w:rPr>
              <w:t>Procedures (Optional)</w:t>
            </w:r>
          </w:p>
        </w:tc>
        <w:tc>
          <w:tcPr>
            <w:tcW w:w="3305" w:type="dxa"/>
          </w:tcPr>
          <w:p w:rsidR="008E0754" w:rsidRPr="009B02A8" w:rsidRDefault="008E0754" w:rsidP="00975BB3">
            <w:pPr>
              <w:outlineLvl w:val="3"/>
              <w:rPr>
                <w:b/>
                <w:color w:val="000000" w:themeColor="text1"/>
                <w:sz w:val="18"/>
                <w:szCs w:val="18"/>
              </w:rPr>
            </w:pPr>
            <w:r w:rsidRPr="009B02A8">
              <w:rPr>
                <w:b/>
                <w:sz w:val="18"/>
                <w:szCs w:val="18"/>
              </w:rPr>
              <w:t xml:space="preserve">§170.207 </w:t>
            </w:r>
            <w:r>
              <w:rPr>
                <w:b/>
                <w:sz w:val="18"/>
                <w:szCs w:val="18"/>
              </w:rPr>
              <w:t>(b)(5)</w:t>
            </w:r>
            <w:r w:rsidRPr="009B02A8">
              <w:rPr>
                <w:b/>
                <w:sz w:val="18"/>
                <w:szCs w:val="18"/>
              </w:rPr>
              <w:t xml:space="preserve"> </w:t>
            </w:r>
          </w:p>
        </w:tc>
      </w:tr>
      <w:tr w:rsidR="008E0754" w:rsidRPr="00E074CB" w:rsidTr="00975BB3">
        <w:sdt>
          <w:sdtPr>
            <w:rPr>
              <w:sz w:val="18"/>
              <w:szCs w:val="18"/>
            </w:rPr>
            <w:id w:val="1705131458"/>
            <w14:checkbox>
              <w14:checked w14:val="0"/>
              <w14:checkedState w14:val="2612" w14:font="Arial Unicode MS"/>
              <w14:uncheckedState w14:val="2610" w14:font="Arial Unicode MS"/>
            </w14:checkbox>
          </w:sdtPr>
          <w:sdtEndPr/>
          <w:sdtContent>
            <w:tc>
              <w:tcPr>
                <w:tcW w:w="445" w:type="dxa"/>
              </w:tcPr>
              <w:p w:rsidR="008E0754" w:rsidRPr="009B02A8" w:rsidRDefault="008E0754" w:rsidP="00975BB3">
                <w:pPr>
                  <w:rPr>
                    <w:sz w:val="18"/>
                    <w:szCs w:val="18"/>
                  </w:rPr>
                </w:pPr>
                <w:r w:rsidRPr="009B02A8">
                  <w:rPr>
                    <w:rFonts w:ascii="MS Gothic" w:eastAsia="MS Gothic" w:hAnsi="MS Gothic" w:hint="eastAsia"/>
                    <w:sz w:val="18"/>
                    <w:szCs w:val="18"/>
                  </w:rPr>
                  <w:t>☐</w:t>
                </w:r>
              </w:p>
            </w:tc>
          </w:sdtContent>
        </w:sdt>
        <w:tc>
          <w:tcPr>
            <w:tcW w:w="2044" w:type="dxa"/>
          </w:tcPr>
          <w:p w:rsidR="008E0754" w:rsidRPr="009B02A8" w:rsidRDefault="008E0754" w:rsidP="00975BB3">
            <w:pPr>
              <w:spacing w:line="360" w:lineRule="auto"/>
              <w:rPr>
                <w:color w:val="000000" w:themeColor="text1"/>
                <w:sz w:val="18"/>
                <w:szCs w:val="18"/>
              </w:rPr>
            </w:pPr>
          </w:p>
        </w:tc>
        <w:tc>
          <w:tcPr>
            <w:tcW w:w="2836" w:type="dxa"/>
          </w:tcPr>
          <w:p w:rsidR="008E0754" w:rsidRPr="009B02A8" w:rsidRDefault="008E0754" w:rsidP="00975BB3">
            <w:pPr>
              <w:spacing w:line="360" w:lineRule="auto"/>
              <w:rPr>
                <w:color w:val="D9D9D9" w:themeColor="background1" w:themeShade="D9"/>
                <w:sz w:val="18"/>
                <w:szCs w:val="18"/>
              </w:rPr>
            </w:pPr>
            <w:r w:rsidRPr="009B02A8">
              <w:rPr>
                <w:color w:val="000000" w:themeColor="text1"/>
                <w:sz w:val="18"/>
                <w:szCs w:val="18"/>
              </w:rPr>
              <w:t>Care Team Member(s)</w:t>
            </w:r>
          </w:p>
        </w:tc>
        <w:tc>
          <w:tcPr>
            <w:tcW w:w="3305" w:type="dxa"/>
          </w:tcPr>
          <w:p w:rsidR="008E0754" w:rsidRPr="009B02A8" w:rsidRDefault="008E0754" w:rsidP="00975BB3">
            <w:pPr>
              <w:rPr>
                <w:b/>
                <w:color w:val="000000" w:themeColor="text1"/>
                <w:sz w:val="18"/>
                <w:szCs w:val="18"/>
              </w:rPr>
            </w:pPr>
            <w:r w:rsidRPr="009B02A8">
              <w:rPr>
                <w:b/>
                <w:sz w:val="18"/>
                <w:szCs w:val="18"/>
              </w:rPr>
              <w:t>&lt;Not applicable&gt;</w:t>
            </w:r>
          </w:p>
        </w:tc>
      </w:tr>
      <w:tr w:rsidR="008E0754" w:rsidRPr="00E074CB" w:rsidTr="00975BB3">
        <w:sdt>
          <w:sdtPr>
            <w:rPr>
              <w:sz w:val="18"/>
              <w:szCs w:val="18"/>
            </w:rPr>
            <w:id w:val="-1801295838"/>
            <w14:checkbox>
              <w14:checked w14:val="0"/>
              <w14:checkedState w14:val="2612" w14:font="Arial Unicode MS"/>
              <w14:uncheckedState w14:val="2610" w14:font="Arial Unicode MS"/>
            </w14:checkbox>
          </w:sdtPr>
          <w:sdtEndPr/>
          <w:sdtContent>
            <w:tc>
              <w:tcPr>
                <w:tcW w:w="445" w:type="dxa"/>
              </w:tcPr>
              <w:p w:rsidR="008E0754" w:rsidRPr="009B02A8" w:rsidRDefault="008E0754" w:rsidP="00975BB3">
                <w:pPr>
                  <w:rPr>
                    <w:sz w:val="18"/>
                    <w:szCs w:val="18"/>
                  </w:rPr>
                </w:pPr>
                <w:r w:rsidRPr="009B02A8">
                  <w:rPr>
                    <w:rFonts w:ascii="MS Gothic" w:eastAsia="MS Gothic" w:hAnsi="MS Gothic" w:hint="eastAsia"/>
                    <w:sz w:val="18"/>
                    <w:szCs w:val="18"/>
                  </w:rPr>
                  <w:t>☐</w:t>
                </w:r>
              </w:p>
            </w:tc>
          </w:sdtContent>
        </w:sdt>
        <w:tc>
          <w:tcPr>
            <w:tcW w:w="2044" w:type="dxa"/>
          </w:tcPr>
          <w:p w:rsidR="008E0754" w:rsidRPr="009B02A8" w:rsidRDefault="008E0754" w:rsidP="00975BB3">
            <w:pPr>
              <w:spacing w:line="360" w:lineRule="auto"/>
              <w:rPr>
                <w:color w:val="000000" w:themeColor="text1"/>
                <w:sz w:val="18"/>
                <w:szCs w:val="18"/>
              </w:rPr>
            </w:pPr>
          </w:p>
        </w:tc>
        <w:tc>
          <w:tcPr>
            <w:tcW w:w="2836" w:type="dxa"/>
          </w:tcPr>
          <w:p w:rsidR="008E0754" w:rsidRPr="009B02A8" w:rsidRDefault="008E0754" w:rsidP="00975BB3">
            <w:pPr>
              <w:spacing w:line="360" w:lineRule="auto"/>
              <w:rPr>
                <w:color w:val="000000" w:themeColor="text1"/>
                <w:sz w:val="18"/>
                <w:szCs w:val="18"/>
              </w:rPr>
            </w:pPr>
            <w:r w:rsidRPr="009B02A8">
              <w:rPr>
                <w:color w:val="000000" w:themeColor="text1"/>
                <w:sz w:val="18"/>
                <w:szCs w:val="18"/>
              </w:rPr>
              <w:t>Immunizations</w:t>
            </w:r>
          </w:p>
        </w:tc>
        <w:tc>
          <w:tcPr>
            <w:tcW w:w="3305" w:type="dxa"/>
          </w:tcPr>
          <w:p w:rsidR="008E0754" w:rsidRPr="009B02A8" w:rsidRDefault="008E0754" w:rsidP="00975BB3">
            <w:pPr>
              <w:outlineLvl w:val="3"/>
              <w:rPr>
                <w:b/>
                <w:color w:val="000000" w:themeColor="text1"/>
                <w:sz w:val="18"/>
                <w:szCs w:val="18"/>
              </w:rPr>
            </w:pPr>
            <w:r w:rsidRPr="009B02A8">
              <w:rPr>
                <w:b/>
                <w:sz w:val="18"/>
                <w:szCs w:val="18"/>
              </w:rPr>
              <w:t>§170.207 (e)(3), §170.207 (e)(4)</w:t>
            </w:r>
          </w:p>
        </w:tc>
      </w:tr>
      <w:tr w:rsidR="008E0754" w:rsidRPr="0017610B" w:rsidTr="00975BB3">
        <w:sdt>
          <w:sdtPr>
            <w:rPr>
              <w:sz w:val="18"/>
              <w:szCs w:val="18"/>
            </w:rPr>
            <w:id w:val="1265490044"/>
            <w14:checkbox>
              <w14:checked w14:val="0"/>
              <w14:checkedState w14:val="2612" w14:font="Arial Unicode MS"/>
              <w14:uncheckedState w14:val="2610" w14:font="Arial Unicode MS"/>
            </w14:checkbox>
          </w:sdtPr>
          <w:sdtEndPr/>
          <w:sdtContent>
            <w:tc>
              <w:tcPr>
                <w:tcW w:w="445" w:type="dxa"/>
              </w:tcPr>
              <w:p w:rsidR="008E0754" w:rsidRPr="009B02A8" w:rsidRDefault="008E0754" w:rsidP="00975BB3">
                <w:pPr>
                  <w:rPr>
                    <w:sz w:val="18"/>
                    <w:szCs w:val="18"/>
                  </w:rPr>
                </w:pPr>
                <w:r w:rsidRPr="009B02A8">
                  <w:rPr>
                    <w:rFonts w:ascii="MS Gothic" w:eastAsia="MS Gothic" w:hAnsi="MS Gothic" w:hint="eastAsia"/>
                    <w:sz w:val="18"/>
                    <w:szCs w:val="18"/>
                  </w:rPr>
                  <w:t>☐</w:t>
                </w:r>
              </w:p>
            </w:tc>
          </w:sdtContent>
        </w:sdt>
        <w:tc>
          <w:tcPr>
            <w:tcW w:w="2044" w:type="dxa"/>
          </w:tcPr>
          <w:p w:rsidR="008E0754" w:rsidRPr="009B02A8" w:rsidRDefault="008E0754" w:rsidP="00975BB3">
            <w:pPr>
              <w:spacing w:line="360" w:lineRule="auto"/>
              <w:rPr>
                <w:color w:val="000000" w:themeColor="text1"/>
                <w:sz w:val="18"/>
                <w:szCs w:val="18"/>
              </w:rPr>
            </w:pPr>
          </w:p>
        </w:tc>
        <w:tc>
          <w:tcPr>
            <w:tcW w:w="2836" w:type="dxa"/>
          </w:tcPr>
          <w:p w:rsidR="008E0754" w:rsidRPr="009B02A8" w:rsidRDefault="008E0754" w:rsidP="00975BB3">
            <w:pPr>
              <w:spacing w:line="360" w:lineRule="auto"/>
              <w:rPr>
                <w:color w:val="000000" w:themeColor="text1"/>
                <w:sz w:val="18"/>
                <w:szCs w:val="18"/>
              </w:rPr>
            </w:pPr>
            <w:r w:rsidRPr="009B02A8">
              <w:rPr>
                <w:color w:val="000000" w:themeColor="text1"/>
                <w:sz w:val="18"/>
                <w:szCs w:val="18"/>
              </w:rPr>
              <w:t>Unique Device Identifier(s) for a Patient’s Implantable Device(s)</w:t>
            </w:r>
          </w:p>
        </w:tc>
        <w:tc>
          <w:tcPr>
            <w:tcW w:w="3305" w:type="dxa"/>
          </w:tcPr>
          <w:p w:rsidR="008E0754" w:rsidRPr="009B02A8" w:rsidRDefault="008E0754" w:rsidP="00975BB3">
            <w:pPr>
              <w:rPr>
                <w:b/>
                <w:color w:val="000000" w:themeColor="text1"/>
                <w:sz w:val="18"/>
                <w:szCs w:val="18"/>
              </w:rPr>
            </w:pPr>
            <w:r w:rsidRPr="009B02A8">
              <w:rPr>
                <w:b/>
                <w:color w:val="000000" w:themeColor="text1"/>
                <w:sz w:val="18"/>
                <w:szCs w:val="18"/>
              </w:rPr>
              <w:t>“Product Instance” in the “Procedure Activity Procedure Section” of the standard specified in § 170.205(a)(4)</w:t>
            </w:r>
          </w:p>
        </w:tc>
      </w:tr>
      <w:tr w:rsidR="008E0754" w:rsidRPr="00F247E9" w:rsidTr="00975BB3">
        <w:sdt>
          <w:sdtPr>
            <w:rPr>
              <w:sz w:val="18"/>
              <w:szCs w:val="18"/>
            </w:rPr>
            <w:id w:val="1694873295"/>
            <w14:checkbox>
              <w14:checked w14:val="0"/>
              <w14:checkedState w14:val="2612" w14:font="Arial Unicode MS"/>
              <w14:uncheckedState w14:val="2610" w14:font="Arial Unicode MS"/>
            </w14:checkbox>
          </w:sdtPr>
          <w:sdtEndPr/>
          <w:sdtContent>
            <w:tc>
              <w:tcPr>
                <w:tcW w:w="445" w:type="dxa"/>
              </w:tcPr>
              <w:p w:rsidR="008E0754" w:rsidRPr="009B02A8" w:rsidRDefault="008E0754" w:rsidP="00975BB3">
                <w:pPr>
                  <w:rPr>
                    <w:sz w:val="18"/>
                    <w:szCs w:val="18"/>
                  </w:rPr>
                </w:pPr>
                <w:r w:rsidRPr="009B02A8">
                  <w:rPr>
                    <w:rFonts w:ascii="MS Gothic" w:eastAsia="MS Gothic" w:hAnsi="MS Gothic" w:hint="eastAsia"/>
                    <w:sz w:val="18"/>
                    <w:szCs w:val="18"/>
                  </w:rPr>
                  <w:t>☐</w:t>
                </w:r>
              </w:p>
            </w:tc>
          </w:sdtContent>
        </w:sdt>
        <w:tc>
          <w:tcPr>
            <w:tcW w:w="2044" w:type="dxa"/>
          </w:tcPr>
          <w:p w:rsidR="008E0754" w:rsidRPr="009B02A8" w:rsidRDefault="008E0754" w:rsidP="00975BB3">
            <w:pPr>
              <w:spacing w:line="360" w:lineRule="auto"/>
              <w:rPr>
                <w:color w:val="000000" w:themeColor="text1"/>
                <w:sz w:val="18"/>
                <w:szCs w:val="18"/>
              </w:rPr>
            </w:pPr>
          </w:p>
        </w:tc>
        <w:tc>
          <w:tcPr>
            <w:tcW w:w="2836" w:type="dxa"/>
          </w:tcPr>
          <w:p w:rsidR="008E0754" w:rsidRPr="009B02A8" w:rsidRDefault="008E0754" w:rsidP="00975BB3">
            <w:pPr>
              <w:spacing w:line="360" w:lineRule="auto"/>
              <w:rPr>
                <w:color w:val="000000" w:themeColor="text1"/>
                <w:sz w:val="18"/>
                <w:szCs w:val="18"/>
              </w:rPr>
            </w:pPr>
            <w:r w:rsidRPr="009B02A8">
              <w:rPr>
                <w:color w:val="000000" w:themeColor="text1"/>
                <w:sz w:val="18"/>
                <w:szCs w:val="18"/>
              </w:rPr>
              <w:t>Assessment and Plan of Treatment</w:t>
            </w:r>
          </w:p>
        </w:tc>
        <w:tc>
          <w:tcPr>
            <w:tcW w:w="3305" w:type="dxa"/>
          </w:tcPr>
          <w:p w:rsidR="008E0754" w:rsidRPr="009B02A8" w:rsidRDefault="008E0754" w:rsidP="00975BB3">
            <w:pPr>
              <w:rPr>
                <w:b/>
                <w:color w:val="000000" w:themeColor="text1"/>
                <w:sz w:val="18"/>
                <w:szCs w:val="18"/>
              </w:rPr>
            </w:pPr>
            <w:r w:rsidRPr="009B02A8">
              <w:rPr>
                <w:b/>
                <w:color w:val="000000" w:themeColor="text1"/>
                <w:sz w:val="18"/>
                <w:szCs w:val="18"/>
              </w:rPr>
              <w:t>In accordance with the “Assessment and Plan Section (V2)” of the standard specified in § 170.205(a)(4); or</w:t>
            </w:r>
          </w:p>
          <w:p w:rsidR="008E0754" w:rsidRPr="009B02A8" w:rsidRDefault="008E0754" w:rsidP="00975BB3">
            <w:pPr>
              <w:rPr>
                <w:color w:val="000000" w:themeColor="text1"/>
                <w:sz w:val="18"/>
                <w:szCs w:val="18"/>
              </w:rPr>
            </w:pPr>
            <w:r w:rsidRPr="009B02A8">
              <w:rPr>
                <w:b/>
                <w:color w:val="000000" w:themeColor="text1"/>
                <w:sz w:val="18"/>
                <w:szCs w:val="18"/>
              </w:rPr>
              <w:t>In accordance with the “Assessment Section (V2)” and “Plan of Treatment Section (V2)” of the standard specified in § 170.205(a</w:t>
            </w:r>
            <w:proofErr w:type="gramStart"/>
            <w:r w:rsidRPr="009B02A8">
              <w:rPr>
                <w:b/>
                <w:color w:val="000000" w:themeColor="text1"/>
                <w:sz w:val="18"/>
                <w:szCs w:val="18"/>
              </w:rPr>
              <w:t>)(</w:t>
            </w:r>
            <w:proofErr w:type="gramEnd"/>
            <w:r w:rsidRPr="009B02A8">
              <w:rPr>
                <w:b/>
                <w:color w:val="000000" w:themeColor="text1"/>
                <w:sz w:val="18"/>
                <w:szCs w:val="18"/>
              </w:rPr>
              <w:t>4).</w:t>
            </w:r>
          </w:p>
        </w:tc>
      </w:tr>
      <w:tr w:rsidR="008E0754" w:rsidRPr="0017610B" w:rsidTr="00975BB3">
        <w:sdt>
          <w:sdtPr>
            <w:rPr>
              <w:sz w:val="18"/>
              <w:szCs w:val="18"/>
            </w:rPr>
            <w:id w:val="-1892019760"/>
            <w14:checkbox>
              <w14:checked w14:val="0"/>
              <w14:checkedState w14:val="2612" w14:font="Arial Unicode MS"/>
              <w14:uncheckedState w14:val="2610" w14:font="Arial Unicode MS"/>
            </w14:checkbox>
          </w:sdtPr>
          <w:sdtEndPr/>
          <w:sdtContent>
            <w:tc>
              <w:tcPr>
                <w:tcW w:w="445" w:type="dxa"/>
              </w:tcPr>
              <w:p w:rsidR="008E0754" w:rsidRPr="009B02A8" w:rsidRDefault="008E0754" w:rsidP="00975BB3">
                <w:pPr>
                  <w:rPr>
                    <w:sz w:val="18"/>
                    <w:szCs w:val="18"/>
                  </w:rPr>
                </w:pPr>
                <w:r w:rsidRPr="009B02A8">
                  <w:rPr>
                    <w:rFonts w:ascii="MS Gothic" w:eastAsia="MS Gothic" w:hAnsi="MS Gothic" w:hint="eastAsia"/>
                    <w:sz w:val="18"/>
                    <w:szCs w:val="18"/>
                  </w:rPr>
                  <w:t>☐</w:t>
                </w:r>
              </w:p>
            </w:tc>
          </w:sdtContent>
        </w:sdt>
        <w:tc>
          <w:tcPr>
            <w:tcW w:w="2044" w:type="dxa"/>
          </w:tcPr>
          <w:p w:rsidR="008E0754" w:rsidRPr="009B02A8" w:rsidRDefault="008E0754" w:rsidP="00975BB3">
            <w:pPr>
              <w:spacing w:line="360" w:lineRule="auto"/>
              <w:rPr>
                <w:color w:val="000000" w:themeColor="text1"/>
                <w:sz w:val="18"/>
                <w:szCs w:val="18"/>
              </w:rPr>
            </w:pPr>
          </w:p>
        </w:tc>
        <w:tc>
          <w:tcPr>
            <w:tcW w:w="2836" w:type="dxa"/>
          </w:tcPr>
          <w:p w:rsidR="008E0754" w:rsidRPr="009B02A8" w:rsidRDefault="008E0754" w:rsidP="00975BB3">
            <w:pPr>
              <w:spacing w:line="360" w:lineRule="auto"/>
              <w:rPr>
                <w:color w:val="000000" w:themeColor="text1"/>
                <w:sz w:val="18"/>
                <w:szCs w:val="18"/>
              </w:rPr>
            </w:pPr>
            <w:r w:rsidRPr="009B02A8">
              <w:rPr>
                <w:color w:val="000000" w:themeColor="text1"/>
                <w:sz w:val="18"/>
                <w:szCs w:val="18"/>
              </w:rPr>
              <w:t>Goals</w:t>
            </w:r>
          </w:p>
        </w:tc>
        <w:tc>
          <w:tcPr>
            <w:tcW w:w="3305" w:type="dxa"/>
          </w:tcPr>
          <w:p w:rsidR="008E0754" w:rsidRPr="009B02A8" w:rsidRDefault="008E0754" w:rsidP="00975BB3">
            <w:pPr>
              <w:rPr>
                <w:b/>
                <w:color w:val="000000" w:themeColor="text1"/>
                <w:sz w:val="18"/>
                <w:szCs w:val="18"/>
              </w:rPr>
            </w:pPr>
            <w:r w:rsidRPr="009B02A8">
              <w:rPr>
                <w:b/>
                <w:color w:val="000000" w:themeColor="text1"/>
                <w:sz w:val="18"/>
                <w:szCs w:val="18"/>
              </w:rPr>
              <w:t>Goals Section” of the standard specified in § 170.205(a</w:t>
            </w:r>
            <w:proofErr w:type="gramStart"/>
            <w:r w:rsidRPr="009B02A8">
              <w:rPr>
                <w:b/>
                <w:color w:val="000000" w:themeColor="text1"/>
                <w:sz w:val="18"/>
                <w:szCs w:val="18"/>
              </w:rPr>
              <w:t>)(</w:t>
            </w:r>
            <w:proofErr w:type="gramEnd"/>
            <w:r w:rsidRPr="009B02A8">
              <w:rPr>
                <w:b/>
                <w:color w:val="000000" w:themeColor="text1"/>
                <w:sz w:val="18"/>
                <w:szCs w:val="18"/>
              </w:rPr>
              <w:t>4) for certification to the 2015 Edition health IT certification criteria.</w:t>
            </w:r>
          </w:p>
        </w:tc>
      </w:tr>
      <w:tr w:rsidR="008E0754" w:rsidRPr="0017610B" w:rsidTr="00975BB3">
        <w:sdt>
          <w:sdtPr>
            <w:rPr>
              <w:sz w:val="18"/>
              <w:szCs w:val="18"/>
            </w:rPr>
            <w:id w:val="-1510823828"/>
            <w14:checkbox>
              <w14:checked w14:val="0"/>
              <w14:checkedState w14:val="2612" w14:font="Arial Unicode MS"/>
              <w14:uncheckedState w14:val="2610" w14:font="Arial Unicode MS"/>
            </w14:checkbox>
          </w:sdtPr>
          <w:sdtEndPr/>
          <w:sdtContent>
            <w:tc>
              <w:tcPr>
                <w:tcW w:w="445" w:type="dxa"/>
              </w:tcPr>
              <w:p w:rsidR="008E0754" w:rsidRPr="009B02A8" w:rsidRDefault="008E0754" w:rsidP="00975BB3">
                <w:pPr>
                  <w:rPr>
                    <w:sz w:val="18"/>
                    <w:szCs w:val="18"/>
                  </w:rPr>
                </w:pPr>
                <w:r w:rsidRPr="009B02A8">
                  <w:rPr>
                    <w:rFonts w:ascii="MS Gothic" w:eastAsia="MS Gothic" w:hAnsi="MS Gothic" w:hint="eastAsia"/>
                    <w:sz w:val="18"/>
                    <w:szCs w:val="18"/>
                  </w:rPr>
                  <w:t>☐</w:t>
                </w:r>
              </w:p>
            </w:tc>
          </w:sdtContent>
        </w:sdt>
        <w:tc>
          <w:tcPr>
            <w:tcW w:w="2044" w:type="dxa"/>
          </w:tcPr>
          <w:p w:rsidR="008E0754" w:rsidRPr="009B02A8" w:rsidRDefault="008E0754" w:rsidP="00975BB3">
            <w:pPr>
              <w:spacing w:line="360" w:lineRule="auto"/>
              <w:rPr>
                <w:color w:val="000000" w:themeColor="text1"/>
                <w:sz w:val="18"/>
                <w:szCs w:val="18"/>
              </w:rPr>
            </w:pPr>
          </w:p>
        </w:tc>
        <w:tc>
          <w:tcPr>
            <w:tcW w:w="2836" w:type="dxa"/>
          </w:tcPr>
          <w:p w:rsidR="008E0754" w:rsidRPr="009B02A8" w:rsidRDefault="008E0754" w:rsidP="00975BB3">
            <w:pPr>
              <w:spacing w:line="360" w:lineRule="auto"/>
              <w:rPr>
                <w:color w:val="000000" w:themeColor="text1"/>
                <w:sz w:val="18"/>
                <w:szCs w:val="18"/>
              </w:rPr>
            </w:pPr>
            <w:r w:rsidRPr="009B02A8">
              <w:rPr>
                <w:color w:val="000000" w:themeColor="text1"/>
                <w:sz w:val="18"/>
                <w:szCs w:val="18"/>
              </w:rPr>
              <w:t>Health Concerns</w:t>
            </w:r>
          </w:p>
        </w:tc>
        <w:tc>
          <w:tcPr>
            <w:tcW w:w="3305" w:type="dxa"/>
          </w:tcPr>
          <w:p w:rsidR="008E0754" w:rsidRPr="009B02A8" w:rsidRDefault="008E0754" w:rsidP="00975BB3">
            <w:pPr>
              <w:rPr>
                <w:b/>
                <w:color w:val="000000" w:themeColor="text1"/>
                <w:sz w:val="18"/>
                <w:szCs w:val="18"/>
              </w:rPr>
            </w:pPr>
            <w:r w:rsidRPr="009B02A8">
              <w:rPr>
                <w:b/>
                <w:color w:val="000000" w:themeColor="text1"/>
                <w:sz w:val="18"/>
                <w:szCs w:val="18"/>
              </w:rPr>
              <w:t>In accordance with the “Health Concerns Section” of the standard specified in § 170.205(a</w:t>
            </w:r>
            <w:proofErr w:type="gramStart"/>
            <w:r w:rsidRPr="009B02A8">
              <w:rPr>
                <w:b/>
                <w:color w:val="000000" w:themeColor="text1"/>
                <w:sz w:val="18"/>
                <w:szCs w:val="18"/>
              </w:rPr>
              <w:t>)(</w:t>
            </w:r>
            <w:proofErr w:type="gramEnd"/>
            <w:r w:rsidRPr="009B02A8">
              <w:rPr>
                <w:b/>
                <w:color w:val="000000" w:themeColor="text1"/>
                <w:sz w:val="18"/>
                <w:szCs w:val="18"/>
              </w:rPr>
              <w:t>4) for certification to the 2015 Edition health IT certification criteria.</w:t>
            </w:r>
          </w:p>
        </w:tc>
      </w:tr>
      <w:tr w:rsidR="008E0754" w:rsidRPr="009B02A8" w:rsidTr="00975BB3">
        <w:tc>
          <w:tcPr>
            <w:tcW w:w="445" w:type="dxa"/>
            <w:shd w:val="clear" w:color="auto" w:fill="DBE5F1" w:themeFill="accent1" w:themeFillTint="33"/>
          </w:tcPr>
          <w:p w:rsidR="008E0754" w:rsidRPr="009B02A8" w:rsidRDefault="008E0754" w:rsidP="00975BB3">
            <w:pPr>
              <w:rPr>
                <w:rFonts w:ascii="Leelawadee UI" w:hAnsi="Leelawadee UI" w:cs="Leelawadee UI"/>
                <w:b/>
                <w:sz w:val="18"/>
                <w:szCs w:val="18"/>
              </w:rPr>
            </w:pPr>
          </w:p>
        </w:tc>
        <w:tc>
          <w:tcPr>
            <w:tcW w:w="2044" w:type="dxa"/>
            <w:shd w:val="clear" w:color="auto" w:fill="DBE5F1" w:themeFill="accent1" w:themeFillTint="33"/>
          </w:tcPr>
          <w:p w:rsidR="008E0754" w:rsidRPr="009B02A8" w:rsidRDefault="008E0754" w:rsidP="00975BB3">
            <w:pPr>
              <w:rPr>
                <w:rFonts w:ascii="Leelawadee UI" w:hAnsi="Leelawadee UI" w:cs="Leelawadee UI"/>
                <w:b/>
                <w:sz w:val="18"/>
                <w:szCs w:val="18"/>
              </w:rPr>
            </w:pPr>
            <w:r w:rsidRPr="009B02A8">
              <w:rPr>
                <w:rFonts w:ascii="Leelawadee UI" w:hAnsi="Leelawadee UI" w:cs="Leelawadee UI"/>
                <w:b/>
                <w:sz w:val="18"/>
                <w:szCs w:val="18"/>
              </w:rPr>
              <w:t>Test Data</w:t>
            </w:r>
          </w:p>
        </w:tc>
        <w:tc>
          <w:tcPr>
            <w:tcW w:w="2836" w:type="dxa"/>
            <w:shd w:val="clear" w:color="auto" w:fill="DBE5F1" w:themeFill="accent1" w:themeFillTint="33"/>
          </w:tcPr>
          <w:p w:rsidR="008E0754" w:rsidRPr="009B02A8" w:rsidRDefault="008E0754" w:rsidP="00975BB3">
            <w:pPr>
              <w:rPr>
                <w:rFonts w:ascii="Leelawadee UI" w:hAnsi="Leelawadee UI" w:cs="Leelawadee UI"/>
                <w:b/>
                <w:sz w:val="18"/>
                <w:szCs w:val="18"/>
              </w:rPr>
            </w:pPr>
            <w:r>
              <w:rPr>
                <w:rFonts w:ascii="Leelawadee UI" w:hAnsi="Leelawadee UI" w:cs="Leelawadee UI"/>
                <w:b/>
                <w:sz w:val="18"/>
                <w:szCs w:val="18"/>
              </w:rPr>
              <w:t>Data Element</w:t>
            </w:r>
          </w:p>
        </w:tc>
        <w:tc>
          <w:tcPr>
            <w:tcW w:w="3305" w:type="dxa"/>
            <w:shd w:val="clear" w:color="auto" w:fill="DBE5F1" w:themeFill="accent1" w:themeFillTint="33"/>
          </w:tcPr>
          <w:p w:rsidR="008E0754" w:rsidRPr="009B02A8" w:rsidRDefault="008E0754" w:rsidP="00975BB3">
            <w:pPr>
              <w:rPr>
                <w:rFonts w:ascii="Leelawadee UI" w:hAnsi="Leelawadee UI" w:cs="Leelawadee UI"/>
                <w:b/>
                <w:sz w:val="18"/>
                <w:szCs w:val="18"/>
              </w:rPr>
            </w:pPr>
            <w:r w:rsidRPr="009B02A8">
              <w:rPr>
                <w:rFonts w:ascii="Leelawadee UI" w:hAnsi="Leelawadee UI" w:cs="Leelawadee UI"/>
                <w:b/>
                <w:sz w:val="18"/>
                <w:szCs w:val="18"/>
              </w:rPr>
              <w:t xml:space="preserve">Standard </w:t>
            </w:r>
          </w:p>
        </w:tc>
      </w:tr>
      <w:tr w:rsidR="008E0754" w:rsidRPr="009B02A8" w:rsidTr="00975BB3">
        <w:sdt>
          <w:sdtPr>
            <w:rPr>
              <w:sz w:val="18"/>
              <w:szCs w:val="18"/>
            </w:rPr>
            <w:id w:val="893313460"/>
            <w14:checkbox>
              <w14:checked w14:val="0"/>
              <w14:checkedState w14:val="2612" w14:font="Arial Unicode MS"/>
              <w14:uncheckedState w14:val="2610" w14:font="Arial Unicode MS"/>
            </w14:checkbox>
          </w:sdtPr>
          <w:sdtEndPr/>
          <w:sdtContent>
            <w:tc>
              <w:tcPr>
                <w:tcW w:w="445" w:type="dxa"/>
              </w:tcPr>
              <w:p w:rsidR="008E0754" w:rsidRPr="009B02A8" w:rsidRDefault="008E0754" w:rsidP="00975BB3">
                <w:pPr>
                  <w:rPr>
                    <w:sz w:val="18"/>
                    <w:szCs w:val="18"/>
                  </w:rPr>
                </w:pPr>
                <w:r w:rsidRPr="009B02A8">
                  <w:rPr>
                    <w:rFonts w:ascii="MS Gothic" w:eastAsia="MS Gothic" w:hAnsi="MS Gothic" w:hint="eastAsia"/>
                    <w:sz w:val="18"/>
                    <w:szCs w:val="18"/>
                  </w:rPr>
                  <w:t>☐</w:t>
                </w:r>
              </w:p>
            </w:tc>
          </w:sdtContent>
        </w:sdt>
        <w:tc>
          <w:tcPr>
            <w:tcW w:w="2044" w:type="dxa"/>
          </w:tcPr>
          <w:p w:rsidR="008E0754" w:rsidRPr="009B02A8" w:rsidRDefault="008E0754" w:rsidP="00975BB3">
            <w:pPr>
              <w:spacing w:line="360" w:lineRule="auto"/>
              <w:rPr>
                <w:color w:val="000000" w:themeColor="text1"/>
                <w:sz w:val="18"/>
                <w:szCs w:val="18"/>
              </w:rPr>
            </w:pPr>
          </w:p>
        </w:tc>
        <w:tc>
          <w:tcPr>
            <w:tcW w:w="2836" w:type="dxa"/>
          </w:tcPr>
          <w:p w:rsidR="008E0754" w:rsidRPr="009B02A8" w:rsidRDefault="008E0754" w:rsidP="00975BB3">
            <w:pPr>
              <w:spacing w:line="360" w:lineRule="auto"/>
              <w:rPr>
                <w:color w:val="000000" w:themeColor="text1"/>
                <w:sz w:val="18"/>
                <w:szCs w:val="18"/>
              </w:rPr>
            </w:pPr>
            <w:r>
              <w:rPr>
                <w:color w:val="000000" w:themeColor="text1"/>
                <w:sz w:val="18"/>
                <w:szCs w:val="18"/>
              </w:rPr>
              <w:t>Encounter diagnoses</w:t>
            </w:r>
          </w:p>
        </w:tc>
        <w:tc>
          <w:tcPr>
            <w:tcW w:w="3305" w:type="dxa"/>
          </w:tcPr>
          <w:p w:rsidR="008E0754" w:rsidRPr="009B02A8" w:rsidRDefault="008E0754" w:rsidP="00975BB3">
            <w:pPr>
              <w:outlineLvl w:val="3"/>
              <w:rPr>
                <w:b/>
                <w:sz w:val="18"/>
                <w:szCs w:val="18"/>
              </w:rPr>
            </w:pPr>
            <w:r w:rsidRPr="009B02A8">
              <w:rPr>
                <w:b/>
                <w:sz w:val="18"/>
                <w:szCs w:val="18"/>
              </w:rPr>
              <w:t xml:space="preserve">§170.207 </w:t>
            </w:r>
            <w:r>
              <w:rPr>
                <w:b/>
                <w:sz w:val="18"/>
                <w:szCs w:val="18"/>
              </w:rPr>
              <w:t>(</w:t>
            </w:r>
            <w:proofErr w:type="spellStart"/>
            <w:r>
              <w:rPr>
                <w:b/>
                <w:sz w:val="18"/>
                <w:szCs w:val="18"/>
              </w:rPr>
              <w:t>i</w:t>
            </w:r>
            <w:proofErr w:type="spellEnd"/>
            <w:r>
              <w:rPr>
                <w:b/>
                <w:sz w:val="18"/>
                <w:szCs w:val="18"/>
              </w:rPr>
              <w:t xml:space="preserve">) or </w:t>
            </w:r>
            <w:r w:rsidRPr="009B02A8">
              <w:rPr>
                <w:b/>
                <w:sz w:val="18"/>
                <w:szCs w:val="18"/>
              </w:rPr>
              <w:t xml:space="preserve">§170.207 </w:t>
            </w:r>
            <w:r>
              <w:rPr>
                <w:b/>
                <w:sz w:val="18"/>
                <w:szCs w:val="18"/>
              </w:rPr>
              <w:t>(a)(4</w:t>
            </w:r>
            <w:r w:rsidRPr="009B02A8">
              <w:rPr>
                <w:b/>
                <w:sz w:val="18"/>
                <w:szCs w:val="18"/>
              </w:rPr>
              <w:t>)</w:t>
            </w:r>
          </w:p>
        </w:tc>
      </w:tr>
      <w:tr w:rsidR="008E0754" w:rsidRPr="009B02A8" w:rsidTr="00975BB3">
        <w:sdt>
          <w:sdtPr>
            <w:rPr>
              <w:sz w:val="18"/>
              <w:szCs w:val="18"/>
            </w:rPr>
            <w:id w:val="850689453"/>
            <w14:checkbox>
              <w14:checked w14:val="0"/>
              <w14:checkedState w14:val="2612" w14:font="Arial Unicode MS"/>
              <w14:uncheckedState w14:val="2610" w14:font="Arial Unicode MS"/>
            </w14:checkbox>
          </w:sdtPr>
          <w:sdtEndPr/>
          <w:sdtContent>
            <w:tc>
              <w:tcPr>
                <w:tcW w:w="445" w:type="dxa"/>
              </w:tcPr>
              <w:p w:rsidR="008E0754" w:rsidRPr="009B02A8" w:rsidRDefault="008E0754" w:rsidP="00975BB3">
                <w:pPr>
                  <w:rPr>
                    <w:sz w:val="18"/>
                    <w:szCs w:val="18"/>
                  </w:rPr>
                </w:pPr>
                <w:r w:rsidRPr="009B02A8">
                  <w:rPr>
                    <w:rFonts w:ascii="MS Gothic" w:eastAsia="MS Gothic" w:hAnsi="MS Gothic" w:hint="eastAsia"/>
                    <w:sz w:val="18"/>
                    <w:szCs w:val="18"/>
                  </w:rPr>
                  <w:t>☐</w:t>
                </w:r>
              </w:p>
            </w:tc>
          </w:sdtContent>
        </w:sdt>
        <w:tc>
          <w:tcPr>
            <w:tcW w:w="2044" w:type="dxa"/>
          </w:tcPr>
          <w:p w:rsidR="008E0754" w:rsidRPr="009B02A8" w:rsidRDefault="008E0754" w:rsidP="00975BB3">
            <w:pPr>
              <w:spacing w:line="360" w:lineRule="auto"/>
              <w:rPr>
                <w:color w:val="000000" w:themeColor="text1"/>
                <w:sz w:val="18"/>
                <w:szCs w:val="18"/>
              </w:rPr>
            </w:pPr>
          </w:p>
        </w:tc>
        <w:tc>
          <w:tcPr>
            <w:tcW w:w="2836" w:type="dxa"/>
          </w:tcPr>
          <w:p w:rsidR="008E0754" w:rsidRPr="009B02A8" w:rsidRDefault="008E0754" w:rsidP="00975BB3">
            <w:pPr>
              <w:spacing w:line="360" w:lineRule="auto"/>
              <w:rPr>
                <w:color w:val="000000" w:themeColor="text1"/>
                <w:sz w:val="18"/>
                <w:szCs w:val="18"/>
              </w:rPr>
            </w:pPr>
            <w:r>
              <w:rPr>
                <w:color w:val="000000" w:themeColor="text1"/>
                <w:sz w:val="18"/>
                <w:szCs w:val="18"/>
              </w:rPr>
              <w:t>Cognitive Status</w:t>
            </w:r>
          </w:p>
        </w:tc>
        <w:tc>
          <w:tcPr>
            <w:tcW w:w="3305" w:type="dxa"/>
          </w:tcPr>
          <w:p w:rsidR="008E0754" w:rsidRPr="009B02A8" w:rsidRDefault="008E0754" w:rsidP="00975BB3">
            <w:pPr>
              <w:outlineLvl w:val="3"/>
              <w:rPr>
                <w:b/>
                <w:color w:val="000000" w:themeColor="text1"/>
                <w:sz w:val="18"/>
                <w:szCs w:val="18"/>
              </w:rPr>
            </w:pPr>
            <w:r w:rsidRPr="007F3D6A">
              <w:rPr>
                <w:b/>
                <w:sz w:val="18"/>
                <w:szCs w:val="18"/>
              </w:rPr>
              <w:t>&lt;Not applicable&gt;</w:t>
            </w:r>
          </w:p>
        </w:tc>
      </w:tr>
      <w:tr w:rsidR="008E0754" w:rsidRPr="009B02A8" w:rsidTr="00975BB3">
        <w:sdt>
          <w:sdtPr>
            <w:rPr>
              <w:sz w:val="18"/>
              <w:szCs w:val="18"/>
            </w:rPr>
            <w:id w:val="-1587600369"/>
            <w14:checkbox>
              <w14:checked w14:val="0"/>
              <w14:checkedState w14:val="2612" w14:font="Arial Unicode MS"/>
              <w14:uncheckedState w14:val="2610" w14:font="Arial Unicode MS"/>
            </w14:checkbox>
          </w:sdtPr>
          <w:sdtEndPr/>
          <w:sdtContent>
            <w:tc>
              <w:tcPr>
                <w:tcW w:w="445" w:type="dxa"/>
              </w:tcPr>
              <w:p w:rsidR="008E0754" w:rsidRPr="009B02A8" w:rsidRDefault="008E0754" w:rsidP="00975BB3">
                <w:pPr>
                  <w:rPr>
                    <w:sz w:val="18"/>
                    <w:szCs w:val="18"/>
                  </w:rPr>
                </w:pPr>
                <w:r w:rsidRPr="009B02A8">
                  <w:rPr>
                    <w:rFonts w:ascii="MS Gothic" w:eastAsia="MS Gothic" w:hAnsi="MS Gothic" w:hint="eastAsia"/>
                    <w:sz w:val="18"/>
                    <w:szCs w:val="18"/>
                  </w:rPr>
                  <w:t>☐</w:t>
                </w:r>
              </w:p>
            </w:tc>
          </w:sdtContent>
        </w:sdt>
        <w:tc>
          <w:tcPr>
            <w:tcW w:w="2044" w:type="dxa"/>
          </w:tcPr>
          <w:p w:rsidR="008E0754" w:rsidRPr="009B02A8" w:rsidRDefault="008E0754" w:rsidP="00975BB3">
            <w:pPr>
              <w:spacing w:line="360" w:lineRule="auto"/>
              <w:rPr>
                <w:color w:val="000000" w:themeColor="text1"/>
                <w:sz w:val="18"/>
                <w:szCs w:val="18"/>
              </w:rPr>
            </w:pPr>
          </w:p>
        </w:tc>
        <w:tc>
          <w:tcPr>
            <w:tcW w:w="2836" w:type="dxa"/>
          </w:tcPr>
          <w:p w:rsidR="008E0754" w:rsidRPr="009B02A8" w:rsidRDefault="008E0754" w:rsidP="00975BB3">
            <w:pPr>
              <w:spacing w:line="360" w:lineRule="auto"/>
              <w:rPr>
                <w:color w:val="000000" w:themeColor="text1"/>
                <w:sz w:val="18"/>
                <w:szCs w:val="18"/>
              </w:rPr>
            </w:pPr>
            <w:r>
              <w:rPr>
                <w:color w:val="000000" w:themeColor="text1"/>
                <w:sz w:val="18"/>
                <w:szCs w:val="18"/>
              </w:rPr>
              <w:t>Functional Status</w:t>
            </w:r>
            <w:r w:rsidRPr="009B02A8">
              <w:rPr>
                <w:color w:val="000000" w:themeColor="text1"/>
                <w:sz w:val="18"/>
                <w:szCs w:val="18"/>
              </w:rPr>
              <w:t xml:space="preserve"> </w:t>
            </w:r>
          </w:p>
        </w:tc>
        <w:tc>
          <w:tcPr>
            <w:tcW w:w="3305" w:type="dxa"/>
          </w:tcPr>
          <w:p w:rsidR="008E0754" w:rsidRPr="009B02A8" w:rsidRDefault="008E0754" w:rsidP="00975BB3">
            <w:pPr>
              <w:outlineLvl w:val="3"/>
              <w:rPr>
                <w:b/>
                <w:sz w:val="18"/>
                <w:szCs w:val="18"/>
              </w:rPr>
            </w:pPr>
            <w:r w:rsidRPr="009B02A8">
              <w:rPr>
                <w:b/>
                <w:sz w:val="18"/>
                <w:szCs w:val="18"/>
              </w:rPr>
              <w:t>&lt;Not applicable&gt;</w:t>
            </w:r>
          </w:p>
        </w:tc>
      </w:tr>
      <w:tr w:rsidR="008E0754" w:rsidRPr="009B02A8" w:rsidTr="00975BB3">
        <w:tc>
          <w:tcPr>
            <w:tcW w:w="8630" w:type="dxa"/>
            <w:gridSpan w:val="4"/>
          </w:tcPr>
          <w:p w:rsidR="008E0754" w:rsidRPr="000B19DE" w:rsidRDefault="008E0754" w:rsidP="00975BB3">
            <w:pPr>
              <w:jc w:val="center"/>
              <w:outlineLvl w:val="3"/>
              <w:rPr>
                <w:rFonts w:ascii="Leelawadee" w:hAnsi="Leelawadee" w:cs="Leelawadee"/>
                <w:b/>
                <w:sz w:val="18"/>
                <w:szCs w:val="18"/>
              </w:rPr>
            </w:pPr>
            <w:r w:rsidRPr="000B19DE">
              <w:rPr>
                <w:rFonts w:ascii="Leelawadee" w:eastAsia="MS Gothic" w:hAnsi="Leelawadee" w:cs="Leelawadee"/>
                <w:b/>
                <w:sz w:val="18"/>
                <w:szCs w:val="18"/>
              </w:rPr>
              <w:t>AMBULATORY ONLY</w:t>
            </w:r>
          </w:p>
        </w:tc>
      </w:tr>
      <w:tr w:rsidR="008E0754" w:rsidRPr="009B02A8" w:rsidTr="00975BB3">
        <w:tc>
          <w:tcPr>
            <w:tcW w:w="445" w:type="dxa"/>
            <w:shd w:val="clear" w:color="auto" w:fill="DBE5F1" w:themeFill="accent1" w:themeFillTint="33"/>
          </w:tcPr>
          <w:p w:rsidR="008E0754" w:rsidRPr="009B02A8" w:rsidRDefault="008E0754" w:rsidP="00975BB3">
            <w:pPr>
              <w:rPr>
                <w:rFonts w:ascii="Leelawadee UI" w:hAnsi="Leelawadee UI" w:cs="Leelawadee UI"/>
                <w:b/>
                <w:sz w:val="18"/>
                <w:szCs w:val="18"/>
              </w:rPr>
            </w:pPr>
          </w:p>
        </w:tc>
        <w:tc>
          <w:tcPr>
            <w:tcW w:w="2044" w:type="dxa"/>
            <w:shd w:val="clear" w:color="auto" w:fill="DBE5F1" w:themeFill="accent1" w:themeFillTint="33"/>
          </w:tcPr>
          <w:p w:rsidR="008E0754" w:rsidRPr="009B02A8" w:rsidRDefault="008E0754" w:rsidP="00975BB3">
            <w:pPr>
              <w:rPr>
                <w:rFonts w:ascii="Leelawadee UI" w:hAnsi="Leelawadee UI" w:cs="Leelawadee UI"/>
                <w:b/>
                <w:sz w:val="18"/>
                <w:szCs w:val="18"/>
              </w:rPr>
            </w:pPr>
            <w:r w:rsidRPr="009B02A8">
              <w:rPr>
                <w:rFonts w:ascii="Leelawadee UI" w:hAnsi="Leelawadee UI" w:cs="Leelawadee UI"/>
                <w:b/>
                <w:sz w:val="18"/>
                <w:szCs w:val="18"/>
              </w:rPr>
              <w:t>Test Data</w:t>
            </w:r>
          </w:p>
        </w:tc>
        <w:tc>
          <w:tcPr>
            <w:tcW w:w="2836" w:type="dxa"/>
            <w:shd w:val="clear" w:color="auto" w:fill="DBE5F1" w:themeFill="accent1" w:themeFillTint="33"/>
          </w:tcPr>
          <w:p w:rsidR="008E0754" w:rsidRPr="009B02A8" w:rsidRDefault="008E0754" w:rsidP="00975BB3">
            <w:pPr>
              <w:rPr>
                <w:rFonts w:ascii="Leelawadee UI" w:hAnsi="Leelawadee UI" w:cs="Leelawadee UI"/>
                <w:b/>
                <w:sz w:val="18"/>
                <w:szCs w:val="18"/>
              </w:rPr>
            </w:pPr>
            <w:r>
              <w:rPr>
                <w:rFonts w:ascii="Leelawadee UI" w:hAnsi="Leelawadee UI" w:cs="Leelawadee UI"/>
                <w:b/>
                <w:sz w:val="18"/>
                <w:szCs w:val="18"/>
              </w:rPr>
              <w:t>Data Element</w:t>
            </w:r>
          </w:p>
        </w:tc>
        <w:tc>
          <w:tcPr>
            <w:tcW w:w="3305" w:type="dxa"/>
            <w:shd w:val="clear" w:color="auto" w:fill="DBE5F1" w:themeFill="accent1" w:themeFillTint="33"/>
          </w:tcPr>
          <w:p w:rsidR="008E0754" w:rsidRPr="009B02A8" w:rsidRDefault="008E0754" w:rsidP="00975BB3">
            <w:pPr>
              <w:rPr>
                <w:rFonts w:ascii="Leelawadee UI" w:hAnsi="Leelawadee UI" w:cs="Leelawadee UI"/>
                <w:b/>
                <w:sz w:val="18"/>
                <w:szCs w:val="18"/>
              </w:rPr>
            </w:pPr>
            <w:r w:rsidRPr="009B02A8">
              <w:rPr>
                <w:rFonts w:ascii="Leelawadee UI" w:hAnsi="Leelawadee UI" w:cs="Leelawadee UI"/>
                <w:b/>
                <w:sz w:val="18"/>
                <w:szCs w:val="18"/>
              </w:rPr>
              <w:t xml:space="preserve">Standard </w:t>
            </w:r>
          </w:p>
        </w:tc>
      </w:tr>
      <w:tr w:rsidR="008E0754" w:rsidRPr="009B02A8" w:rsidTr="00975BB3">
        <w:sdt>
          <w:sdtPr>
            <w:rPr>
              <w:sz w:val="18"/>
              <w:szCs w:val="18"/>
            </w:rPr>
            <w:id w:val="-311494579"/>
            <w14:checkbox>
              <w14:checked w14:val="0"/>
              <w14:checkedState w14:val="2612" w14:font="Arial Unicode MS"/>
              <w14:uncheckedState w14:val="2610" w14:font="Arial Unicode MS"/>
            </w14:checkbox>
          </w:sdtPr>
          <w:sdtEndPr/>
          <w:sdtContent>
            <w:tc>
              <w:tcPr>
                <w:tcW w:w="445" w:type="dxa"/>
              </w:tcPr>
              <w:p w:rsidR="008E0754" w:rsidRPr="009B02A8" w:rsidRDefault="008E0754" w:rsidP="00975BB3">
                <w:pPr>
                  <w:rPr>
                    <w:sz w:val="18"/>
                    <w:szCs w:val="18"/>
                  </w:rPr>
                </w:pPr>
                <w:r w:rsidRPr="009B02A8">
                  <w:rPr>
                    <w:rFonts w:ascii="MS Gothic" w:eastAsia="MS Gothic" w:hAnsi="MS Gothic" w:hint="eastAsia"/>
                    <w:sz w:val="18"/>
                    <w:szCs w:val="18"/>
                  </w:rPr>
                  <w:t>☐</w:t>
                </w:r>
              </w:p>
            </w:tc>
          </w:sdtContent>
        </w:sdt>
        <w:tc>
          <w:tcPr>
            <w:tcW w:w="2044" w:type="dxa"/>
          </w:tcPr>
          <w:p w:rsidR="008E0754" w:rsidRPr="009B02A8" w:rsidRDefault="008E0754" w:rsidP="00975BB3">
            <w:pPr>
              <w:spacing w:line="360" w:lineRule="auto"/>
              <w:rPr>
                <w:color w:val="000000" w:themeColor="text1"/>
                <w:sz w:val="18"/>
                <w:szCs w:val="18"/>
              </w:rPr>
            </w:pPr>
          </w:p>
        </w:tc>
        <w:tc>
          <w:tcPr>
            <w:tcW w:w="2836" w:type="dxa"/>
          </w:tcPr>
          <w:p w:rsidR="008E0754" w:rsidRPr="009B02A8" w:rsidRDefault="008E0754" w:rsidP="00975BB3">
            <w:pPr>
              <w:spacing w:line="360" w:lineRule="auto"/>
              <w:rPr>
                <w:color w:val="000000" w:themeColor="text1"/>
                <w:sz w:val="18"/>
                <w:szCs w:val="18"/>
              </w:rPr>
            </w:pPr>
            <w:r>
              <w:rPr>
                <w:color w:val="000000" w:themeColor="text1"/>
                <w:sz w:val="18"/>
                <w:szCs w:val="18"/>
              </w:rPr>
              <w:t>Reason for referral</w:t>
            </w:r>
          </w:p>
        </w:tc>
        <w:tc>
          <w:tcPr>
            <w:tcW w:w="3305" w:type="dxa"/>
          </w:tcPr>
          <w:p w:rsidR="008E0754" w:rsidRPr="009B02A8" w:rsidRDefault="008E0754" w:rsidP="00975BB3">
            <w:pPr>
              <w:outlineLvl w:val="3"/>
              <w:rPr>
                <w:b/>
                <w:sz w:val="18"/>
                <w:szCs w:val="18"/>
              </w:rPr>
            </w:pPr>
            <w:r w:rsidRPr="000B19DE">
              <w:rPr>
                <w:b/>
                <w:sz w:val="18"/>
                <w:szCs w:val="18"/>
              </w:rPr>
              <w:t>&lt;Not applicable&gt;</w:t>
            </w:r>
          </w:p>
        </w:tc>
      </w:tr>
      <w:tr w:rsidR="008E0754" w:rsidRPr="009B02A8" w:rsidTr="00975BB3">
        <w:sdt>
          <w:sdtPr>
            <w:rPr>
              <w:sz w:val="18"/>
              <w:szCs w:val="18"/>
            </w:rPr>
            <w:id w:val="-31572321"/>
            <w14:checkbox>
              <w14:checked w14:val="0"/>
              <w14:checkedState w14:val="2612" w14:font="Arial Unicode MS"/>
              <w14:uncheckedState w14:val="2610" w14:font="Arial Unicode MS"/>
            </w14:checkbox>
          </w:sdtPr>
          <w:sdtEndPr/>
          <w:sdtContent>
            <w:tc>
              <w:tcPr>
                <w:tcW w:w="445" w:type="dxa"/>
              </w:tcPr>
              <w:p w:rsidR="008E0754" w:rsidRPr="009B02A8" w:rsidRDefault="008E0754" w:rsidP="00975BB3">
                <w:pPr>
                  <w:rPr>
                    <w:sz w:val="18"/>
                    <w:szCs w:val="18"/>
                  </w:rPr>
                </w:pPr>
                <w:r w:rsidRPr="009B02A8">
                  <w:rPr>
                    <w:rFonts w:ascii="MS Gothic" w:eastAsia="MS Gothic" w:hAnsi="MS Gothic" w:hint="eastAsia"/>
                    <w:sz w:val="18"/>
                    <w:szCs w:val="18"/>
                  </w:rPr>
                  <w:t>☐</w:t>
                </w:r>
              </w:p>
            </w:tc>
          </w:sdtContent>
        </w:sdt>
        <w:tc>
          <w:tcPr>
            <w:tcW w:w="2044" w:type="dxa"/>
          </w:tcPr>
          <w:p w:rsidR="008E0754" w:rsidRPr="009B02A8" w:rsidRDefault="008E0754" w:rsidP="00975BB3">
            <w:pPr>
              <w:spacing w:line="360" w:lineRule="auto"/>
              <w:rPr>
                <w:color w:val="000000" w:themeColor="text1"/>
                <w:sz w:val="18"/>
                <w:szCs w:val="18"/>
              </w:rPr>
            </w:pPr>
          </w:p>
        </w:tc>
        <w:tc>
          <w:tcPr>
            <w:tcW w:w="2836" w:type="dxa"/>
          </w:tcPr>
          <w:p w:rsidR="008E0754" w:rsidRPr="009B02A8" w:rsidRDefault="008E0754" w:rsidP="00975BB3">
            <w:pPr>
              <w:spacing w:line="360" w:lineRule="auto"/>
              <w:rPr>
                <w:color w:val="000000" w:themeColor="text1"/>
                <w:sz w:val="18"/>
                <w:szCs w:val="18"/>
              </w:rPr>
            </w:pPr>
            <w:r>
              <w:rPr>
                <w:color w:val="000000" w:themeColor="text1"/>
                <w:sz w:val="18"/>
                <w:szCs w:val="18"/>
              </w:rPr>
              <w:t>Referring or transitioning provider’s name and office contact information</w:t>
            </w:r>
          </w:p>
        </w:tc>
        <w:tc>
          <w:tcPr>
            <w:tcW w:w="3305" w:type="dxa"/>
          </w:tcPr>
          <w:p w:rsidR="008E0754" w:rsidRPr="009B02A8" w:rsidRDefault="008E0754" w:rsidP="00975BB3">
            <w:pPr>
              <w:outlineLvl w:val="3"/>
              <w:rPr>
                <w:b/>
                <w:color w:val="000000" w:themeColor="text1"/>
                <w:sz w:val="18"/>
                <w:szCs w:val="18"/>
              </w:rPr>
            </w:pPr>
            <w:r w:rsidRPr="007F3D6A">
              <w:rPr>
                <w:b/>
                <w:sz w:val="18"/>
                <w:szCs w:val="18"/>
              </w:rPr>
              <w:t>&lt;Not applicable&gt;</w:t>
            </w:r>
          </w:p>
        </w:tc>
      </w:tr>
      <w:tr w:rsidR="008E0754" w:rsidRPr="000B19DE" w:rsidTr="00975BB3">
        <w:tc>
          <w:tcPr>
            <w:tcW w:w="8630" w:type="dxa"/>
            <w:gridSpan w:val="4"/>
          </w:tcPr>
          <w:p w:rsidR="008E0754" w:rsidRPr="000B19DE" w:rsidRDefault="008E0754" w:rsidP="00975BB3">
            <w:pPr>
              <w:jc w:val="center"/>
              <w:outlineLvl w:val="3"/>
              <w:rPr>
                <w:rFonts w:ascii="Leelawadee" w:hAnsi="Leelawadee" w:cs="Leelawadee"/>
                <w:b/>
                <w:sz w:val="18"/>
                <w:szCs w:val="18"/>
              </w:rPr>
            </w:pPr>
            <w:r>
              <w:rPr>
                <w:rFonts w:ascii="Leelawadee" w:eastAsia="MS Gothic" w:hAnsi="Leelawadee" w:cs="Leelawadee"/>
                <w:b/>
                <w:sz w:val="18"/>
                <w:szCs w:val="18"/>
              </w:rPr>
              <w:t>INPATIENT</w:t>
            </w:r>
            <w:r w:rsidRPr="000B19DE">
              <w:rPr>
                <w:rFonts w:ascii="Leelawadee" w:eastAsia="MS Gothic" w:hAnsi="Leelawadee" w:cs="Leelawadee"/>
                <w:b/>
                <w:sz w:val="18"/>
                <w:szCs w:val="18"/>
              </w:rPr>
              <w:t xml:space="preserve"> ONLY</w:t>
            </w:r>
          </w:p>
        </w:tc>
      </w:tr>
      <w:tr w:rsidR="008E0754" w:rsidRPr="009B02A8" w:rsidTr="00975BB3">
        <w:tc>
          <w:tcPr>
            <w:tcW w:w="445" w:type="dxa"/>
            <w:shd w:val="clear" w:color="auto" w:fill="DBE5F1" w:themeFill="accent1" w:themeFillTint="33"/>
          </w:tcPr>
          <w:p w:rsidR="008E0754" w:rsidRPr="009B02A8" w:rsidRDefault="008E0754" w:rsidP="00975BB3">
            <w:pPr>
              <w:rPr>
                <w:rFonts w:ascii="Leelawadee UI" w:hAnsi="Leelawadee UI" w:cs="Leelawadee UI"/>
                <w:b/>
                <w:sz w:val="18"/>
                <w:szCs w:val="18"/>
              </w:rPr>
            </w:pPr>
          </w:p>
        </w:tc>
        <w:tc>
          <w:tcPr>
            <w:tcW w:w="2044" w:type="dxa"/>
            <w:shd w:val="clear" w:color="auto" w:fill="DBE5F1" w:themeFill="accent1" w:themeFillTint="33"/>
          </w:tcPr>
          <w:p w:rsidR="008E0754" w:rsidRPr="009B02A8" w:rsidRDefault="008E0754" w:rsidP="00975BB3">
            <w:pPr>
              <w:rPr>
                <w:rFonts w:ascii="Leelawadee UI" w:hAnsi="Leelawadee UI" w:cs="Leelawadee UI"/>
                <w:b/>
                <w:sz w:val="18"/>
                <w:szCs w:val="18"/>
              </w:rPr>
            </w:pPr>
            <w:r w:rsidRPr="009B02A8">
              <w:rPr>
                <w:rFonts w:ascii="Leelawadee UI" w:hAnsi="Leelawadee UI" w:cs="Leelawadee UI"/>
                <w:b/>
                <w:sz w:val="18"/>
                <w:szCs w:val="18"/>
              </w:rPr>
              <w:t>Test Data</w:t>
            </w:r>
          </w:p>
        </w:tc>
        <w:tc>
          <w:tcPr>
            <w:tcW w:w="2836" w:type="dxa"/>
            <w:shd w:val="clear" w:color="auto" w:fill="DBE5F1" w:themeFill="accent1" w:themeFillTint="33"/>
          </w:tcPr>
          <w:p w:rsidR="008E0754" w:rsidRPr="009B02A8" w:rsidRDefault="008E0754" w:rsidP="00975BB3">
            <w:pPr>
              <w:rPr>
                <w:rFonts w:ascii="Leelawadee UI" w:hAnsi="Leelawadee UI" w:cs="Leelawadee UI"/>
                <w:b/>
                <w:sz w:val="18"/>
                <w:szCs w:val="18"/>
              </w:rPr>
            </w:pPr>
            <w:r>
              <w:rPr>
                <w:rFonts w:ascii="Leelawadee UI" w:hAnsi="Leelawadee UI" w:cs="Leelawadee UI"/>
                <w:b/>
                <w:sz w:val="18"/>
                <w:szCs w:val="18"/>
              </w:rPr>
              <w:t>Data Element</w:t>
            </w:r>
          </w:p>
        </w:tc>
        <w:tc>
          <w:tcPr>
            <w:tcW w:w="3305" w:type="dxa"/>
            <w:shd w:val="clear" w:color="auto" w:fill="DBE5F1" w:themeFill="accent1" w:themeFillTint="33"/>
          </w:tcPr>
          <w:p w:rsidR="008E0754" w:rsidRPr="009B02A8" w:rsidRDefault="008E0754" w:rsidP="00975BB3">
            <w:pPr>
              <w:rPr>
                <w:rFonts w:ascii="Leelawadee UI" w:hAnsi="Leelawadee UI" w:cs="Leelawadee UI"/>
                <w:b/>
                <w:sz w:val="18"/>
                <w:szCs w:val="18"/>
              </w:rPr>
            </w:pPr>
            <w:r w:rsidRPr="009B02A8">
              <w:rPr>
                <w:rFonts w:ascii="Leelawadee UI" w:hAnsi="Leelawadee UI" w:cs="Leelawadee UI"/>
                <w:b/>
                <w:sz w:val="18"/>
                <w:szCs w:val="18"/>
              </w:rPr>
              <w:t xml:space="preserve">Standard </w:t>
            </w:r>
          </w:p>
        </w:tc>
      </w:tr>
      <w:tr w:rsidR="008E0754" w:rsidRPr="009B02A8" w:rsidTr="00975BB3">
        <w:sdt>
          <w:sdtPr>
            <w:rPr>
              <w:sz w:val="18"/>
              <w:szCs w:val="18"/>
            </w:rPr>
            <w:id w:val="-1420862170"/>
            <w14:checkbox>
              <w14:checked w14:val="0"/>
              <w14:checkedState w14:val="2612" w14:font="Arial Unicode MS"/>
              <w14:uncheckedState w14:val="2610" w14:font="Arial Unicode MS"/>
            </w14:checkbox>
          </w:sdtPr>
          <w:sdtEndPr/>
          <w:sdtContent>
            <w:tc>
              <w:tcPr>
                <w:tcW w:w="445" w:type="dxa"/>
              </w:tcPr>
              <w:p w:rsidR="008E0754" w:rsidRPr="009B02A8" w:rsidRDefault="008E0754" w:rsidP="00975BB3">
                <w:pPr>
                  <w:rPr>
                    <w:sz w:val="18"/>
                    <w:szCs w:val="18"/>
                  </w:rPr>
                </w:pPr>
                <w:r w:rsidRPr="009B02A8">
                  <w:rPr>
                    <w:rFonts w:ascii="MS Gothic" w:eastAsia="MS Gothic" w:hAnsi="MS Gothic" w:hint="eastAsia"/>
                    <w:sz w:val="18"/>
                    <w:szCs w:val="18"/>
                  </w:rPr>
                  <w:t>☐</w:t>
                </w:r>
              </w:p>
            </w:tc>
          </w:sdtContent>
        </w:sdt>
        <w:tc>
          <w:tcPr>
            <w:tcW w:w="2044" w:type="dxa"/>
          </w:tcPr>
          <w:p w:rsidR="008E0754" w:rsidRPr="009B02A8" w:rsidRDefault="008E0754" w:rsidP="00975BB3">
            <w:pPr>
              <w:spacing w:line="360" w:lineRule="auto"/>
              <w:rPr>
                <w:color w:val="000000" w:themeColor="text1"/>
                <w:sz w:val="18"/>
                <w:szCs w:val="18"/>
              </w:rPr>
            </w:pPr>
          </w:p>
        </w:tc>
        <w:tc>
          <w:tcPr>
            <w:tcW w:w="2836" w:type="dxa"/>
          </w:tcPr>
          <w:p w:rsidR="008E0754" w:rsidRPr="009B02A8" w:rsidRDefault="008E0754" w:rsidP="00975BB3">
            <w:pPr>
              <w:spacing w:line="360" w:lineRule="auto"/>
              <w:rPr>
                <w:color w:val="000000" w:themeColor="text1"/>
                <w:sz w:val="18"/>
                <w:szCs w:val="18"/>
              </w:rPr>
            </w:pPr>
            <w:r>
              <w:rPr>
                <w:color w:val="000000" w:themeColor="text1"/>
                <w:sz w:val="18"/>
                <w:szCs w:val="18"/>
              </w:rPr>
              <w:t>Discharge Instructions</w:t>
            </w:r>
            <w:r w:rsidRPr="009B02A8">
              <w:rPr>
                <w:color w:val="000000" w:themeColor="text1"/>
                <w:sz w:val="18"/>
                <w:szCs w:val="18"/>
              </w:rPr>
              <w:t xml:space="preserve"> </w:t>
            </w:r>
          </w:p>
        </w:tc>
        <w:tc>
          <w:tcPr>
            <w:tcW w:w="3305" w:type="dxa"/>
          </w:tcPr>
          <w:p w:rsidR="008E0754" w:rsidRPr="009B02A8" w:rsidRDefault="008E0754" w:rsidP="00975BB3">
            <w:pPr>
              <w:outlineLvl w:val="3"/>
              <w:rPr>
                <w:b/>
                <w:sz w:val="18"/>
                <w:szCs w:val="18"/>
              </w:rPr>
            </w:pPr>
            <w:r w:rsidRPr="009B02A8">
              <w:rPr>
                <w:b/>
                <w:sz w:val="18"/>
                <w:szCs w:val="18"/>
              </w:rPr>
              <w:t>&lt;Not applicable&gt;</w:t>
            </w:r>
          </w:p>
        </w:tc>
      </w:tr>
      <w:tr w:rsidR="008E0754" w:rsidRPr="009B02A8" w:rsidTr="00975BB3">
        <w:sdt>
          <w:sdtPr>
            <w:rPr>
              <w:sz w:val="18"/>
              <w:szCs w:val="18"/>
            </w:rPr>
            <w:id w:val="-578910690"/>
            <w14:checkbox>
              <w14:checked w14:val="0"/>
              <w14:checkedState w14:val="2612" w14:font="Arial Unicode MS"/>
              <w14:uncheckedState w14:val="2610" w14:font="Arial Unicode MS"/>
            </w14:checkbox>
          </w:sdtPr>
          <w:sdtEndPr/>
          <w:sdtContent>
            <w:tc>
              <w:tcPr>
                <w:tcW w:w="445" w:type="dxa"/>
              </w:tcPr>
              <w:p w:rsidR="008E0754" w:rsidRPr="009B02A8" w:rsidRDefault="008E0754" w:rsidP="00975BB3">
                <w:pPr>
                  <w:rPr>
                    <w:sz w:val="18"/>
                    <w:szCs w:val="18"/>
                  </w:rPr>
                </w:pPr>
                <w:r w:rsidRPr="009B02A8">
                  <w:rPr>
                    <w:rFonts w:ascii="MS Gothic" w:eastAsia="MS Gothic" w:hAnsi="MS Gothic" w:hint="eastAsia"/>
                    <w:sz w:val="18"/>
                    <w:szCs w:val="18"/>
                  </w:rPr>
                  <w:t>☐</w:t>
                </w:r>
              </w:p>
            </w:tc>
          </w:sdtContent>
        </w:sdt>
        <w:tc>
          <w:tcPr>
            <w:tcW w:w="2044" w:type="dxa"/>
          </w:tcPr>
          <w:p w:rsidR="008E0754" w:rsidRPr="009B02A8" w:rsidRDefault="008E0754" w:rsidP="00975BB3">
            <w:pPr>
              <w:spacing w:line="360" w:lineRule="auto"/>
              <w:rPr>
                <w:color w:val="000000" w:themeColor="text1"/>
                <w:sz w:val="18"/>
                <w:szCs w:val="18"/>
              </w:rPr>
            </w:pPr>
          </w:p>
        </w:tc>
        <w:tc>
          <w:tcPr>
            <w:tcW w:w="2836" w:type="dxa"/>
          </w:tcPr>
          <w:p w:rsidR="008E0754" w:rsidRPr="009B02A8" w:rsidRDefault="008E0754" w:rsidP="00975BB3">
            <w:pPr>
              <w:spacing w:line="360" w:lineRule="auto"/>
              <w:rPr>
                <w:color w:val="000000" w:themeColor="text1"/>
                <w:sz w:val="18"/>
                <w:szCs w:val="18"/>
              </w:rPr>
            </w:pPr>
            <w:r>
              <w:rPr>
                <w:color w:val="000000" w:themeColor="text1"/>
                <w:sz w:val="18"/>
                <w:szCs w:val="18"/>
              </w:rPr>
              <w:t>Patient matching</w:t>
            </w:r>
          </w:p>
        </w:tc>
        <w:tc>
          <w:tcPr>
            <w:tcW w:w="3305" w:type="dxa"/>
          </w:tcPr>
          <w:p w:rsidR="008E0754" w:rsidRPr="009B02A8" w:rsidRDefault="008E0754" w:rsidP="00975BB3">
            <w:pPr>
              <w:outlineLvl w:val="3"/>
              <w:rPr>
                <w:b/>
                <w:color w:val="000000" w:themeColor="text1"/>
                <w:sz w:val="18"/>
                <w:szCs w:val="18"/>
              </w:rPr>
            </w:pPr>
            <w:r w:rsidRPr="009B02A8">
              <w:rPr>
                <w:b/>
                <w:sz w:val="18"/>
                <w:szCs w:val="18"/>
              </w:rPr>
              <w:t xml:space="preserve">§170.207 (f)(1) </w:t>
            </w:r>
            <w:r w:rsidRPr="009B02A8">
              <w:rPr>
                <w:sz w:val="18"/>
                <w:szCs w:val="18"/>
              </w:rPr>
              <w:t xml:space="preserve">Mapped to </w:t>
            </w:r>
            <w:r w:rsidRPr="009B02A8">
              <w:rPr>
                <w:b/>
                <w:sz w:val="18"/>
                <w:szCs w:val="18"/>
              </w:rPr>
              <w:t>§170.207 (f)(2)</w:t>
            </w:r>
            <w:r>
              <w:rPr>
                <w:b/>
                <w:sz w:val="18"/>
                <w:szCs w:val="18"/>
              </w:rPr>
              <w:t xml:space="preserve">; </w:t>
            </w:r>
            <w:r w:rsidRPr="009B02A8">
              <w:rPr>
                <w:b/>
                <w:sz w:val="18"/>
                <w:szCs w:val="18"/>
              </w:rPr>
              <w:t xml:space="preserve">§170.207 (f)(2) </w:t>
            </w:r>
          </w:p>
        </w:tc>
      </w:tr>
    </w:tbl>
    <w:p w:rsidR="008E0754" w:rsidRDefault="008E0754" w:rsidP="008E0754"/>
    <w:p w:rsidR="008E0754" w:rsidRDefault="008E0754" w:rsidP="008E0754">
      <w:r>
        <w:br w:type="page"/>
      </w:r>
    </w:p>
    <w:p w:rsidR="00362E3C" w:rsidRDefault="00362E3C" w:rsidP="00362E3C">
      <w:pPr>
        <w:pStyle w:val="Heading1"/>
      </w:pPr>
      <w:r>
        <w:lastRenderedPageBreak/>
        <w:t>Change Log</w:t>
      </w:r>
      <w:bookmarkEnd w:id="12"/>
    </w:p>
    <w:tbl>
      <w:tblPr>
        <w:tblStyle w:val="TableGrid"/>
        <w:tblW w:w="0" w:type="auto"/>
        <w:tblLook w:val="04A0" w:firstRow="1" w:lastRow="0" w:firstColumn="1" w:lastColumn="0" w:noHBand="0" w:noVBand="1"/>
      </w:tblPr>
      <w:tblGrid>
        <w:gridCol w:w="2051"/>
        <w:gridCol w:w="6579"/>
      </w:tblGrid>
      <w:tr w:rsidR="00362E3C" w:rsidTr="00DE7198">
        <w:tc>
          <w:tcPr>
            <w:tcW w:w="2051" w:type="dxa"/>
          </w:tcPr>
          <w:p w:rsidR="00362E3C" w:rsidRDefault="00362E3C" w:rsidP="004A3AA7">
            <w:r>
              <w:t>Revision</w:t>
            </w:r>
          </w:p>
        </w:tc>
        <w:tc>
          <w:tcPr>
            <w:tcW w:w="6579" w:type="dxa"/>
          </w:tcPr>
          <w:p w:rsidR="00362E3C" w:rsidRDefault="00362E3C" w:rsidP="004A3AA7">
            <w:r>
              <w:t>Change Description</w:t>
            </w:r>
          </w:p>
        </w:tc>
      </w:tr>
      <w:tr w:rsidR="00DE7198" w:rsidTr="00DE7198">
        <w:tc>
          <w:tcPr>
            <w:tcW w:w="2051" w:type="dxa"/>
          </w:tcPr>
          <w:p w:rsidR="00DE7198" w:rsidRDefault="00B314C7" w:rsidP="008D3CE5">
            <w:r>
              <w:t>01-Oct-2016</w:t>
            </w:r>
          </w:p>
        </w:tc>
        <w:tc>
          <w:tcPr>
            <w:tcW w:w="6579" w:type="dxa"/>
          </w:tcPr>
          <w:p w:rsidR="00DE7198" w:rsidRDefault="00B314C7" w:rsidP="004A3AA7">
            <w:r>
              <w:t>Updated hyperlinks for ONC-hosted ETT.</w:t>
            </w:r>
            <w:r w:rsidR="00B74803">
              <w:t xml:space="preserve">  Updates test data filenames.</w:t>
            </w:r>
            <w:bookmarkStart w:id="13" w:name="_GoBack"/>
            <w:bookmarkEnd w:id="13"/>
          </w:p>
        </w:tc>
      </w:tr>
      <w:tr w:rsidR="00B314C7" w:rsidTr="00DE7198">
        <w:tc>
          <w:tcPr>
            <w:tcW w:w="2051" w:type="dxa"/>
          </w:tcPr>
          <w:p w:rsidR="00B314C7" w:rsidRDefault="00B314C7" w:rsidP="00B314C7">
            <w:r>
              <w:t>01-Jun-2016</w:t>
            </w:r>
          </w:p>
        </w:tc>
        <w:tc>
          <w:tcPr>
            <w:tcW w:w="6579" w:type="dxa"/>
          </w:tcPr>
          <w:p w:rsidR="00B314C7" w:rsidRDefault="00B314C7" w:rsidP="00B314C7">
            <w:r>
              <w:t>Added hyperlinks to standards list.</w:t>
            </w:r>
          </w:p>
        </w:tc>
      </w:tr>
      <w:tr w:rsidR="00B314C7" w:rsidTr="00DE7198">
        <w:tc>
          <w:tcPr>
            <w:tcW w:w="2051" w:type="dxa"/>
          </w:tcPr>
          <w:p w:rsidR="00B314C7" w:rsidRDefault="00B314C7" w:rsidP="00B314C7">
            <w:r>
              <w:t>01-May-2016</w:t>
            </w:r>
          </w:p>
        </w:tc>
        <w:tc>
          <w:tcPr>
            <w:tcW w:w="6579" w:type="dxa"/>
          </w:tcPr>
          <w:p w:rsidR="00B314C7" w:rsidRDefault="00B314C7" w:rsidP="00B314C7">
            <w:r>
              <w:t>Corrected Race and Ethnicity entries on “CCDS Reference Table” to clarify 170.207(f</w:t>
            </w:r>
            <w:proofErr w:type="gramStart"/>
            <w:r>
              <w:t>)(</w:t>
            </w:r>
            <w:proofErr w:type="gramEnd"/>
            <w:r>
              <w:t>2) should be mapped to 170.207(f)(1).</w:t>
            </w:r>
          </w:p>
        </w:tc>
      </w:tr>
      <w:tr w:rsidR="00B314C7" w:rsidTr="00DE7198">
        <w:tc>
          <w:tcPr>
            <w:tcW w:w="2051" w:type="dxa"/>
          </w:tcPr>
          <w:p w:rsidR="00B314C7" w:rsidRDefault="00B314C7" w:rsidP="00B314C7">
            <w:r>
              <w:t>01-Mar-2016</w:t>
            </w:r>
          </w:p>
        </w:tc>
        <w:tc>
          <w:tcPr>
            <w:tcW w:w="6579" w:type="dxa"/>
          </w:tcPr>
          <w:p w:rsidR="00B314C7" w:rsidRDefault="00B314C7" w:rsidP="00B314C7">
            <w:r>
              <w:t>Initial Release.</w:t>
            </w:r>
          </w:p>
        </w:tc>
      </w:tr>
      <w:tr w:rsidR="00B314C7" w:rsidTr="00DE7198">
        <w:tc>
          <w:tcPr>
            <w:tcW w:w="2051" w:type="dxa"/>
          </w:tcPr>
          <w:p w:rsidR="00B314C7" w:rsidRDefault="00B314C7" w:rsidP="00B314C7"/>
        </w:tc>
        <w:tc>
          <w:tcPr>
            <w:tcW w:w="6579" w:type="dxa"/>
          </w:tcPr>
          <w:p w:rsidR="00B314C7" w:rsidRDefault="00B314C7" w:rsidP="00B314C7"/>
        </w:tc>
      </w:tr>
      <w:tr w:rsidR="00B314C7" w:rsidTr="00DE7198">
        <w:tc>
          <w:tcPr>
            <w:tcW w:w="2051" w:type="dxa"/>
          </w:tcPr>
          <w:p w:rsidR="00B314C7" w:rsidRDefault="00B314C7" w:rsidP="00B314C7"/>
        </w:tc>
        <w:tc>
          <w:tcPr>
            <w:tcW w:w="6579" w:type="dxa"/>
          </w:tcPr>
          <w:p w:rsidR="00B314C7" w:rsidRDefault="00B314C7" w:rsidP="00B314C7"/>
        </w:tc>
      </w:tr>
      <w:tr w:rsidR="00B314C7" w:rsidTr="00DE7198">
        <w:tc>
          <w:tcPr>
            <w:tcW w:w="2051" w:type="dxa"/>
          </w:tcPr>
          <w:p w:rsidR="00B314C7" w:rsidRDefault="00B314C7" w:rsidP="00B314C7"/>
        </w:tc>
        <w:tc>
          <w:tcPr>
            <w:tcW w:w="6579" w:type="dxa"/>
          </w:tcPr>
          <w:p w:rsidR="00B314C7" w:rsidRDefault="00B314C7" w:rsidP="00B314C7"/>
        </w:tc>
      </w:tr>
    </w:tbl>
    <w:p w:rsidR="00362E3C" w:rsidRPr="00EB79BD" w:rsidRDefault="00362E3C" w:rsidP="00362E3C"/>
    <w:p w:rsidR="00362E3C" w:rsidRDefault="00362E3C" w:rsidP="00362E3C"/>
    <w:p w:rsidR="00362E3C" w:rsidRDefault="00362E3C" w:rsidP="00362E3C">
      <w:pPr>
        <w:pStyle w:val="Heading1"/>
      </w:pPr>
      <w:r>
        <w:br w:type="page"/>
      </w:r>
    </w:p>
    <w:p w:rsidR="00C9327B" w:rsidRDefault="00C9327B" w:rsidP="00C9327B">
      <w:pPr>
        <w:rPr>
          <w:rFonts w:ascii="Calibri" w:hAnsi="Calibri"/>
          <w:sz w:val="22"/>
          <w:szCs w:val="22"/>
        </w:rPr>
      </w:pPr>
      <w:r>
        <w:rPr>
          <w:rFonts w:ascii="Calibri" w:hAnsi="Calibri"/>
          <w:b/>
          <w:bCs/>
          <w:sz w:val="22"/>
          <w:szCs w:val="22"/>
        </w:rPr>
        <w:lastRenderedPageBreak/>
        <w:t>About Drummond Group LLC</w:t>
      </w:r>
    </w:p>
    <w:p w:rsidR="00C9327B" w:rsidRDefault="00C9327B" w:rsidP="00C9327B">
      <w:pPr>
        <w:rPr>
          <w:rFonts w:ascii="Calibri" w:hAnsi="Calibri"/>
          <w:color w:val="000000"/>
          <w:sz w:val="22"/>
          <w:szCs w:val="22"/>
        </w:rPr>
      </w:pPr>
      <w:r>
        <w:rPr>
          <w:rFonts w:ascii="Calibri" w:hAnsi="Calibri"/>
          <w:sz w:val="22"/>
          <w:szCs w:val="22"/>
        </w:rPr>
        <w:t>Drummond Group</w:t>
      </w:r>
      <w:r>
        <w:rPr>
          <w:rFonts w:ascii="Calibri" w:hAnsi="Calibri"/>
          <w:color w:val="1F497D"/>
          <w:sz w:val="22"/>
          <w:szCs w:val="22"/>
        </w:rPr>
        <w:t xml:space="preserve"> </w:t>
      </w:r>
      <w:r>
        <w:rPr>
          <w:rFonts w:ascii="Calibri" w:hAnsi="Calibri"/>
          <w:sz w:val="22"/>
          <w:szCs w:val="22"/>
        </w:rPr>
        <w:t>LLC is a global software test and certification lab that serves a wide range of vertical industries.  In healthcare, Drummond Group tests and certifies Controlled Substance Ordering Systems (CSOS), Electronic Prescription of Controlled Substances (EPCS) software and processes, and Electronic Health Records (EHRs) – designating the trusted test lab as the only third-party certifier of all three initiatives designed to move the industry toward a digital future. Founded in 1999, and accredited for the Office of the National Coordinator H</w:t>
      </w:r>
      <w:r w:rsidR="00AB23DE">
        <w:rPr>
          <w:rFonts w:ascii="Calibri" w:hAnsi="Calibri"/>
          <w:sz w:val="22"/>
          <w:szCs w:val="22"/>
        </w:rPr>
        <w:t xml:space="preserve">ealth </w:t>
      </w:r>
      <w:r>
        <w:rPr>
          <w:rFonts w:ascii="Calibri" w:hAnsi="Calibri"/>
          <w:sz w:val="22"/>
          <w:szCs w:val="22"/>
        </w:rPr>
        <w:t xml:space="preserve">IT Certification Program as an Authorized Certification Body (ACB) and an Authorized Test Lab (ATL), Drummond Group continues to build upon its deep experience and expertise necessary to deliver reliable and cost-effective services. For more information, please visit </w:t>
      </w:r>
      <w:hyperlink r:id="rId15" w:history="1">
        <w:r>
          <w:rPr>
            <w:rStyle w:val="Hyperlink"/>
            <w:rFonts w:ascii="Calibri" w:hAnsi="Calibri"/>
            <w:sz w:val="22"/>
            <w:szCs w:val="22"/>
          </w:rPr>
          <w:t>http://www.drummondgroup.com</w:t>
        </w:r>
      </w:hyperlink>
      <w:r>
        <w:rPr>
          <w:rFonts w:ascii="Calibri" w:hAnsi="Calibri"/>
          <w:color w:val="1F497D"/>
          <w:sz w:val="22"/>
          <w:szCs w:val="22"/>
        </w:rPr>
        <w:t xml:space="preserve"> </w:t>
      </w:r>
      <w:r>
        <w:rPr>
          <w:rFonts w:ascii="Calibri" w:hAnsi="Calibri"/>
          <w:sz w:val="22"/>
          <w:szCs w:val="22"/>
        </w:rPr>
        <w:t xml:space="preserve">or email </w:t>
      </w:r>
      <w:hyperlink r:id="rId16" w:history="1">
        <w:r>
          <w:rPr>
            <w:rStyle w:val="Hyperlink"/>
            <w:rFonts w:ascii="Calibri" w:hAnsi="Calibri"/>
            <w:sz w:val="22"/>
            <w:szCs w:val="22"/>
          </w:rPr>
          <w:t>ehr@drummondgroup.com</w:t>
        </w:r>
      </w:hyperlink>
    </w:p>
    <w:p w:rsidR="00362E3C" w:rsidRDefault="00362E3C" w:rsidP="00362E3C">
      <w:pPr>
        <w:pStyle w:val="BodyText"/>
        <w:ind w:left="720"/>
        <w:jc w:val="left"/>
        <w:rPr>
          <w:rFonts w:cs="Arial"/>
          <w:szCs w:val="24"/>
        </w:rPr>
      </w:pPr>
    </w:p>
    <w:p w:rsidR="00362E3C" w:rsidRDefault="00362E3C" w:rsidP="00362E3C">
      <w:pPr>
        <w:pStyle w:val="BodyText"/>
        <w:ind w:left="720"/>
        <w:jc w:val="left"/>
        <w:rPr>
          <w:rFonts w:cs="Arial"/>
          <w:szCs w:val="24"/>
        </w:rPr>
      </w:pPr>
    </w:p>
    <w:p w:rsidR="00362E3C" w:rsidRDefault="00362E3C" w:rsidP="00362E3C">
      <w:pPr>
        <w:pStyle w:val="BodyText"/>
        <w:ind w:left="720"/>
        <w:jc w:val="left"/>
        <w:rPr>
          <w:rFonts w:cs="Arial"/>
          <w:szCs w:val="24"/>
        </w:rPr>
      </w:pPr>
    </w:p>
    <w:p w:rsidR="00362E3C" w:rsidRPr="00186BD2" w:rsidRDefault="00362E3C" w:rsidP="00163B60">
      <w:pPr>
        <w:pStyle w:val="BodyText"/>
        <w:jc w:val="center"/>
        <w:rPr>
          <w:rFonts w:cs="Arial"/>
          <w:sz w:val="36"/>
          <w:szCs w:val="36"/>
        </w:rPr>
      </w:pPr>
      <w:r w:rsidRPr="00186BD2">
        <w:rPr>
          <w:rFonts w:cs="Arial"/>
          <w:sz w:val="36"/>
          <w:szCs w:val="36"/>
        </w:rPr>
        <w:t>END OF DOCUMENT</w:t>
      </w:r>
    </w:p>
    <w:p w:rsidR="00362E3C" w:rsidRPr="007774B2" w:rsidRDefault="00362E3C" w:rsidP="00362E3C"/>
    <w:p w:rsidR="00362E3C" w:rsidRPr="00597BE1" w:rsidRDefault="00362E3C" w:rsidP="00362E3C"/>
    <w:p w:rsidR="00B502B4" w:rsidRPr="00362E3C" w:rsidRDefault="00B502B4" w:rsidP="00362E3C"/>
    <w:sectPr w:rsidR="00B502B4" w:rsidRPr="00362E3C">
      <w:headerReference w:type="even" r:id="rId17"/>
      <w:headerReference w:type="default" r:id="rId18"/>
      <w:footerReference w:type="default" r:id="rId19"/>
      <w:headerReference w:type="first" r:id="rId20"/>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70695" w:rsidRDefault="00670695">
      <w:r>
        <w:separator/>
      </w:r>
    </w:p>
  </w:endnote>
  <w:endnote w:type="continuationSeparator" w:id="0">
    <w:p w:rsidR="00670695" w:rsidRDefault="006706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Leelawadee UI">
    <w:panose1 w:val="020B0502040204020203"/>
    <w:charset w:val="00"/>
    <w:family w:val="swiss"/>
    <w:pitch w:val="variable"/>
    <w:sig w:usb0="A3000003" w:usb1="00000000" w:usb2="00010000" w:usb3="00000000" w:csb0="00010101"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TimesNewRoman">
    <w:panose1 w:val="00000000000000000000"/>
    <w:charset w:val="00"/>
    <w:family w:val="roman"/>
    <w:notTrueType/>
    <w:pitch w:val="default"/>
    <w:sig w:usb0="00000003" w:usb1="00000000" w:usb2="00000000" w:usb3="00000000" w:csb0="00000001" w:csb1="00000000"/>
  </w:font>
  <w:font w:name="TimesNewRoman,Bold">
    <w:panose1 w:val="00000000000000000000"/>
    <w:charset w:val="00"/>
    <w:family w:val="roman"/>
    <w:notTrueType/>
    <w:pitch w:val="default"/>
    <w:sig w:usb0="00000003" w:usb1="00000000" w:usb2="00000000" w:usb3="00000000" w:csb0="00000001" w:csb1="00000000"/>
  </w:font>
  <w:font w:name="Leelawadee">
    <w:altName w:val="Segoe UI"/>
    <w:panose1 w:val="020B0502040204020203"/>
    <w:charset w:val="00"/>
    <w:family w:val="roman"/>
    <w:notTrueType/>
    <w:pitch w:val="default"/>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D174F" w:rsidRDefault="00BD174F" w:rsidP="0041704D">
    <w:pPr>
      <w:pStyle w:val="Footer"/>
      <w:jc w:val="right"/>
      <w:rPr>
        <w:b/>
        <w:color w:val="000000"/>
        <w:sz w:val="16"/>
        <w:szCs w:val="16"/>
      </w:rPr>
    </w:pPr>
    <w:r>
      <w:rPr>
        <w:b/>
        <w:color w:val="000000"/>
        <w:sz w:val="16"/>
        <w:szCs w:val="16"/>
      </w:rPr>
      <w:t xml:space="preserve">Rev.: </w:t>
    </w:r>
    <w:r w:rsidRPr="000561CE">
      <w:rPr>
        <w:b/>
        <w:color w:val="000000"/>
        <w:sz w:val="16"/>
        <w:szCs w:val="16"/>
      </w:rPr>
      <w:t>01</w:t>
    </w:r>
    <w:r w:rsidR="00B314C7">
      <w:rPr>
        <w:b/>
        <w:color w:val="000000"/>
        <w:sz w:val="16"/>
        <w:szCs w:val="16"/>
      </w:rPr>
      <w:t>Oct</w:t>
    </w:r>
    <w:r w:rsidRPr="000561CE">
      <w:rPr>
        <w:b/>
        <w:color w:val="000000"/>
        <w:sz w:val="16"/>
        <w:szCs w:val="16"/>
      </w:rPr>
      <w:t>2016</w:t>
    </w:r>
  </w:p>
  <w:p w:rsidR="00BD174F" w:rsidRDefault="00BD174F" w:rsidP="0041704D">
    <w:pPr>
      <w:pStyle w:val="Footer"/>
      <w:jc w:val="right"/>
      <w:rPr>
        <w:b/>
        <w:color w:val="000000"/>
        <w:sz w:val="16"/>
        <w:szCs w:val="16"/>
      </w:rPr>
    </w:pPr>
    <w:r>
      <w:rPr>
        <w:b/>
        <w:color w:val="000000"/>
        <w:sz w:val="16"/>
        <w:szCs w:val="16"/>
      </w:rPr>
      <w:t>EHR Test -155</w:t>
    </w:r>
  </w:p>
  <w:p w:rsidR="00BD174F" w:rsidRDefault="00BD174F" w:rsidP="00CA5473">
    <w:pPr>
      <w:jc w:val="right"/>
      <w:rPr>
        <w:b/>
        <w:sz w:val="16"/>
        <w:szCs w:val="16"/>
      </w:rPr>
    </w:pPr>
    <w:r>
      <w:rPr>
        <w:b/>
        <w:sz w:val="16"/>
        <w:szCs w:val="16"/>
      </w:rPr>
      <w:t xml:space="preserve">Page </w:t>
    </w:r>
    <w:r>
      <w:rPr>
        <w:b/>
        <w:sz w:val="16"/>
        <w:szCs w:val="16"/>
      </w:rPr>
      <w:fldChar w:fldCharType="begin"/>
    </w:r>
    <w:r>
      <w:rPr>
        <w:b/>
        <w:sz w:val="16"/>
        <w:szCs w:val="16"/>
      </w:rPr>
      <w:instrText xml:space="preserve"> PAGE </w:instrText>
    </w:r>
    <w:r>
      <w:rPr>
        <w:b/>
        <w:sz w:val="16"/>
        <w:szCs w:val="16"/>
      </w:rPr>
      <w:fldChar w:fldCharType="separate"/>
    </w:r>
    <w:r w:rsidR="00B74803">
      <w:rPr>
        <w:b/>
        <w:noProof/>
        <w:sz w:val="16"/>
        <w:szCs w:val="16"/>
      </w:rPr>
      <w:t>21</w:t>
    </w:r>
    <w:r>
      <w:rPr>
        <w:b/>
        <w:sz w:val="16"/>
        <w:szCs w:val="16"/>
      </w:rPr>
      <w:fldChar w:fldCharType="end"/>
    </w:r>
    <w:r>
      <w:rPr>
        <w:b/>
        <w:sz w:val="16"/>
        <w:szCs w:val="16"/>
      </w:rPr>
      <w:t xml:space="preserve"> of </w:t>
    </w:r>
    <w:r>
      <w:rPr>
        <w:b/>
        <w:sz w:val="16"/>
        <w:szCs w:val="16"/>
      </w:rPr>
      <w:fldChar w:fldCharType="begin"/>
    </w:r>
    <w:r>
      <w:rPr>
        <w:b/>
        <w:sz w:val="16"/>
        <w:szCs w:val="16"/>
      </w:rPr>
      <w:instrText xml:space="preserve"> NUMPAGES  </w:instrText>
    </w:r>
    <w:r>
      <w:rPr>
        <w:b/>
        <w:sz w:val="16"/>
        <w:szCs w:val="16"/>
      </w:rPr>
      <w:fldChar w:fldCharType="separate"/>
    </w:r>
    <w:r w:rsidR="00B74803">
      <w:rPr>
        <w:b/>
        <w:noProof/>
        <w:sz w:val="16"/>
        <w:szCs w:val="16"/>
      </w:rPr>
      <w:t>21</w:t>
    </w:r>
    <w:r>
      <w:rPr>
        <w:b/>
        <w:sz w:val="16"/>
        <w:szCs w:val="16"/>
      </w:rPr>
      <w:fldChar w:fldCharType="end"/>
    </w:r>
  </w:p>
  <w:p w:rsidR="00BD174F" w:rsidRPr="006A0231" w:rsidRDefault="00BD174F" w:rsidP="00D63A5B">
    <w:pPr>
      <w:jc w:val="center"/>
      <w:rPr>
        <w:sz w:val="20"/>
        <w:szCs w:val="20"/>
      </w:rPr>
    </w:pPr>
    <w:r w:rsidRPr="006A0231">
      <w:rPr>
        <w:sz w:val="20"/>
        <w:szCs w:val="20"/>
      </w:rPr>
      <w:t>Copyright © 201</w:t>
    </w:r>
    <w:r w:rsidR="00AB23DE">
      <w:rPr>
        <w:sz w:val="20"/>
        <w:szCs w:val="20"/>
      </w:rPr>
      <w:t>6</w:t>
    </w:r>
    <w:r w:rsidRPr="006A0231">
      <w:rPr>
        <w:sz w:val="20"/>
        <w:szCs w:val="20"/>
      </w:rPr>
      <w:t xml:space="preserve"> Drummond Group LLC</w:t>
    </w:r>
  </w:p>
  <w:p w:rsidR="00BD174F" w:rsidRPr="006A0231" w:rsidRDefault="00BD174F" w:rsidP="00D63A5B">
    <w:pPr>
      <w:rPr>
        <w:sz w:val="20"/>
        <w:szCs w:val="20"/>
      </w:rPr>
    </w:pPr>
    <w:r w:rsidRPr="006A0231">
      <w:rPr>
        <w:sz w:val="20"/>
        <w:szCs w:val="20"/>
      </w:rPr>
      <w:t>The information contained in this document is strictly held confidential and shall not be disclosed in any manner or form, directly or indirectly, to any person or entity under any circumstances, without prior approval.</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70695" w:rsidRDefault="00670695">
      <w:r>
        <w:separator/>
      </w:r>
    </w:p>
  </w:footnote>
  <w:footnote w:type="continuationSeparator" w:id="0">
    <w:p w:rsidR="00670695" w:rsidRDefault="0067069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D174F" w:rsidRDefault="00670695">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6157237" o:spid="_x0000_s2050" type="#_x0000_t136" style="position:absolute;margin-left:0;margin-top:0;width:537.4pt;height:71.65pt;rotation:315;z-index:-251658752;mso-position-horizontal:center;mso-position-horizontal-relative:margin;mso-position-vertical:center;mso-position-vertical-relative:margin" o:allowincell="f" fillcolor="silver" stroked="f">
          <v:fill opacity=".5"/>
          <v:textpath style="font-family:&quot;Times New Roman&quot;;font-size:1pt" string="Controlled Copy"/>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D174F" w:rsidRDefault="00670695" w:rsidP="00450818">
    <w:pPr>
      <w:rPr>
        <w:b/>
        <w:color w:val="000000"/>
      </w:rP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6157238" o:spid="_x0000_s2051" type="#_x0000_t136" style="position:absolute;margin-left:0;margin-top:0;width:537.4pt;height:71.65pt;rotation:315;z-index:-251657728;mso-position-horizontal:center;mso-position-horizontal-relative:margin;mso-position-vertical:center;mso-position-vertical-relative:margin" o:allowincell="f" fillcolor="silver" stroked="f">
          <v:fill opacity=".5"/>
          <v:textpath style="font-family:&quot;Times New Roman&quot;;font-size:1pt" string="Controlled Copy"/>
          <w10:wrap anchorx="margin" anchory="margin"/>
        </v:shape>
      </w:pict>
    </w:r>
    <w:r w:rsidR="00BD174F">
      <w:rPr>
        <w:b/>
        <w:noProof/>
        <w:color w:val="000000"/>
        <w:sz w:val="32"/>
        <w:szCs w:val="32"/>
      </w:rPr>
      <w:drawing>
        <wp:inline distT="0" distB="0" distL="0" distR="0">
          <wp:extent cx="1493520" cy="499872"/>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urrent DGI Logo_last updated Feb2011.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493520" cy="499872"/>
                  </a:xfrm>
                  <a:prstGeom prst="rect">
                    <a:avLst/>
                  </a:prstGeom>
                </pic:spPr>
              </pic:pic>
            </a:graphicData>
          </a:graphic>
        </wp:inline>
      </w:drawing>
    </w:r>
    <w:r w:rsidR="00BD174F" w:rsidRPr="00A9582F">
      <w:rPr>
        <w:b/>
        <w:color w:val="000000"/>
        <w:sz w:val="32"/>
        <w:szCs w:val="32"/>
      </w:rPr>
      <w:t xml:space="preserve"> </w:t>
    </w:r>
    <w:r w:rsidR="00BD174F">
      <w:rPr>
        <w:b/>
        <w:color w:val="000000"/>
        <w:sz w:val="32"/>
        <w:szCs w:val="32"/>
      </w:rPr>
      <w:t xml:space="preserve">            </w:t>
    </w:r>
    <w:r w:rsidR="00BD174F" w:rsidRPr="00F67C18">
      <w:rPr>
        <w:b/>
        <w:color w:val="000000"/>
      </w:rPr>
      <w:t>170.315</w:t>
    </w:r>
    <w:proofErr w:type="gramStart"/>
    <w:r w:rsidR="00BD174F" w:rsidRPr="00F67C18">
      <w:rPr>
        <w:b/>
        <w:color w:val="000000"/>
      </w:rPr>
      <w:t>.</w:t>
    </w:r>
    <w:r w:rsidR="00BD174F">
      <w:rPr>
        <w:b/>
        <w:color w:val="000000"/>
      </w:rPr>
      <w:t>b.5</w:t>
    </w:r>
    <w:proofErr w:type="gramEnd"/>
    <w:r w:rsidR="00BD174F" w:rsidRPr="00F67C18">
      <w:rPr>
        <w:b/>
        <w:color w:val="000000"/>
      </w:rPr>
      <w:t xml:space="preserve"> </w:t>
    </w:r>
    <w:r w:rsidR="00BD174F">
      <w:rPr>
        <w:b/>
        <w:color w:val="000000"/>
      </w:rPr>
      <w:t>CCDS Summary Record - Receive PS</w:t>
    </w:r>
  </w:p>
  <w:p w:rsidR="00BD174F" w:rsidRPr="00450818" w:rsidRDefault="00BD174F" w:rsidP="00450818">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D174F" w:rsidRDefault="00670695">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6157236" o:spid="_x0000_s2049" type="#_x0000_t136" style="position:absolute;margin-left:0;margin-top:0;width:537.4pt;height:71.65pt;rotation:315;z-index:-251659776;mso-position-horizontal:center;mso-position-horizontal-relative:margin;mso-position-vertical:center;mso-position-vertical-relative:margin" o:allowincell="f" fillcolor="silver" stroked="f">
          <v:fill opacity=".5"/>
          <v:textpath style="font-family:&quot;Times New Roman&quot;;font-size:1pt" string="Controlled Copy"/>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0374BB"/>
    <w:multiLevelType w:val="hybridMultilevel"/>
    <w:tmpl w:val="FAB6BC06"/>
    <w:lvl w:ilvl="0" w:tplc="CD72446A">
      <w:start w:val="1"/>
      <w:numFmt w:val="upperLetter"/>
      <w:lvlText w:val="(%1)"/>
      <w:lvlJc w:val="left"/>
      <w:pPr>
        <w:ind w:left="1110" w:hanging="39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B3345F5"/>
    <w:multiLevelType w:val="hybridMultilevel"/>
    <w:tmpl w:val="009E1E4E"/>
    <w:lvl w:ilvl="0" w:tplc="04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 w15:restartNumberingAfterBreak="0">
    <w:nsid w:val="0C457506"/>
    <w:multiLevelType w:val="hybridMultilevel"/>
    <w:tmpl w:val="36885D54"/>
    <w:lvl w:ilvl="0" w:tplc="60D42786">
      <w:start w:val="1"/>
      <w:numFmt w:val="lowerRoman"/>
      <w:lvlText w:val="%1."/>
      <w:lvlJc w:val="left"/>
      <w:pPr>
        <w:ind w:left="1440" w:hanging="360"/>
      </w:pPr>
      <w:rPr>
        <w:rFonts w:hint="default"/>
      </w:rPr>
    </w:lvl>
    <w:lvl w:ilvl="1" w:tplc="BF5E2DDE">
      <w:start w:val="1"/>
      <w:numFmt w:val="decimal"/>
      <w:lvlText w:val="(%2)"/>
      <w:lvlJc w:val="left"/>
      <w:pPr>
        <w:ind w:left="2160" w:hanging="360"/>
      </w:pPr>
      <w:rPr>
        <w:rFonts w:hint="default"/>
      </w:r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109E4286"/>
    <w:multiLevelType w:val="hybridMultilevel"/>
    <w:tmpl w:val="9D540E3C"/>
    <w:lvl w:ilvl="0" w:tplc="D9B8ED9A">
      <w:start w:val="1"/>
      <w:numFmt w:val="lowerRoman"/>
      <w:lvlText w:val="(%1)"/>
      <w:lvlJc w:val="left"/>
      <w:pPr>
        <w:ind w:left="1440" w:hanging="720"/>
      </w:pPr>
      <w:rPr>
        <w:rFonts w:hint="default"/>
      </w:rPr>
    </w:lvl>
    <w:lvl w:ilvl="1" w:tplc="04090015">
      <w:start w:val="1"/>
      <w:numFmt w:val="upp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14A66417"/>
    <w:multiLevelType w:val="hybridMultilevel"/>
    <w:tmpl w:val="2FB4616E"/>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5" w15:restartNumberingAfterBreak="0">
    <w:nsid w:val="174269C1"/>
    <w:multiLevelType w:val="hybridMultilevel"/>
    <w:tmpl w:val="FF342A3C"/>
    <w:lvl w:ilvl="0" w:tplc="0409000F">
      <w:start w:val="1"/>
      <w:numFmt w:val="decimal"/>
      <w:lvlText w:val="%1."/>
      <w:lvlJc w:val="left"/>
      <w:pPr>
        <w:tabs>
          <w:tab w:val="num" w:pos="1080"/>
        </w:tabs>
        <w:ind w:left="1080" w:hanging="360"/>
      </w:pPr>
    </w:lvl>
    <w:lvl w:ilvl="1" w:tplc="04090001">
      <w:start w:val="1"/>
      <w:numFmt w:val="bullet"/>
      <w:lvlText w:val=""/>
      <w:lvlJc w:val="left"/>
      <w:pPr>
        <w:tabs>
          <w:tab w:val="num" w:pos="1800"/>
        </w:tabs>
        <w:ind w:left="1800" w:hanging="360"/>
      </w:pPr>
      <w:rPr>
        <w:rFonts w:ascii="Symbol" w:hAnsi="Symbol"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6" w15:restartNumberingAfterBreak="0">
    <w:nsid w:val="17CA58FD"/>
    <w:multiLevelType w:val="multilevel"/>
    <w:tmpl w:val="173498E8"/>
    <w:lvl w:ilvl="0">
      <w:start w:val="1"/>
      <w:numFmt w:val="decimal"/>
      <w:lvlText w:val="%1."/>
      <w:lvlJc w:val="left"/>
      <w:pPr>
        <w:tabs>
          <w:tab w:val="num" w:pos="1080"/>
        </w:tabs>
        <w:ind w:left="1080" w:hanging="360"/>
      </w:pPr>
    </w:lvl>
    <w:lvl w:ilvl="1">
      <w:start w:val="1"/>
      <w:numFmt w:val="bullet"/>
      <w:lvlText w:val=""/>
      <w:lvlJc w:val="left"/>
      <w:pPr>
        <w:tabs>
          <w:tab w:val="num" w:pos="1800"/>
        </w:tabs>
        <w:ind w:left="1800" w:hanging="360"/>
      </w:pPr>
      <w:rPr>
        <w:rFonts w:ascii="Symbol" w:hAnsi="Symbol" w:hint="default"/>
      </w:r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7" w15:restartNumberingAfterBreak="0">
    <w:nsid w:val="1CD25C5D"/>
    <w:multiLevelType w:val="hybridMultilevel"/>
    <w:tmpl w:val="36EC70BA"/>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1F471C3F"/>
    <w:multiLevelType w:val="hybridMultilevel"/>
    <w:tmpl w:val="A420CA48"/>
    <w:lvl w:ilvl="0" w:tplc="04090001">
      <w:start w:val="1"/>
      <w:numFmt w:val="bullet"/>
      <w:lvlText w:val=""/>
      <w:lvlJc w:val="left"/>
      <w:pPr>
        <w:tabs>
          <w:tab w:val="num" w:pos="1080"/>
        </w:tabs>
        <w:ind w:left="1080" w:hanging="360"/>
      </w:pPr>
      <w:rPr>
        <w:rFonts w:ascii="Symbol" w:hAnsi="Symbol" w:hint="default"/>
      </w:rPr>
    </w:lvl>
    <w:lvl w:ilvl="1" w:tplc="04090001">
      <w:start w:val="1"/>
      <w:numFmt w:val="bullet"/>
      <w:lvlText w:val=""/>
      <w:lvlJc w:val="left"/>
      <w:pPr>
        <w:tabs>
          <w:tab w:val="num" w:pos="1800"/>
        </w:tabs>
        <w:ind w:left="1800" w:hanging="360"/>
      </w:pPr>
      <w:rPr>
        <w:rFonts w:ascii="Symbol" w:hAnsi="Symbol"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9" w15:restartNumberingAfterBreak="0">
    <w:nsid w:val="21656803"/>
    <w:multiLevelType w:val="hybridMultilevel"/>
    <w:tmpl w:val="10480DE8"/>
    <w:lvl w:ilvl="0" w:tplc="04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0" w15:restartNumberingAfterBreak="0">
    <w:nsid w:val="24894464"/>
    <w:multiLevelType w:val="hybridMultilevel"/>
    <w:tmpl w:val="89FAD72A"/>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25206CC6"/>
    <w:multiLevelType w:val="hybridMultilevel"/>
    <w:tmpl w:val="C4AC88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B89503C"/>
    <w:multiLevelType w:val="hybridMultilevel"/>
    <w:tmpl w:val="944EE91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2EFC28A7"/>
    <w:multiLevelType w:val="hybridMultilevel"/>
    <w:tmpl w:val="733E78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F86536F"/>
    <w:multiLevelType w:val="hybridMultilevel"/>
    <w:tmpl w:val="329E5A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FF620F3"/>
    <w:multiLevelType w:val="multilevel"/>
    <w:tmpl w:val="173498E8"/>
    <w:lvl w:ilvl="0">
      <w:start w:val="1"/>
      <w:numFmt w:val="decimal"/>
      <w:lvlText w:val="%1."/>
      <w:lvlJc w:val="left"/>
      <w:pPr>
        <w:tabs>
          <w:tab w:val="num" w:pos="1080"/>
        </w:tabs>
        <w:ind w:left="1080" w:hanging="360"/>
      </w:pPr>
    </w:lvl>
    <w:lvl w:ilvl="1">
      <w:start w:val="1"/>
      <w:numFmt w:val="bullet"/>
      <w:lvlText w:val=""/>
      <w:lvlJc w:val="left"/>
      <w:pPr>
        <w:tabs>
          <w:tab w:val="num" w:pos="1800"/>
        </w:tabs>
        <w:ind w:left="1800" w:hanging="360"/>
      </w:pPr>
      <w:rPr>
        <w:rFonts w:ascii="Symbol" w:hAnsi="Symbol" w:hint="default"/>
      </w:r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16" w15:restartNumberingAfterBreak="0">
    <w:nsid w:val="335A33B8"/>
    <w:multiLevelType w:val="hybridMultilevel"/>
    <w:tmpl w:val="7480EE8C"/>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7" w15:restartNumberingAfterBreak="0">
    <w:nsid w:val="338779D1"/>
    <w:multiLevelType w:val="hybridMultilevel"/>
    <w:tmpl w:val="3E747D42"/>
    <w:lvl w:ilvl="0" w:tplc="8BE41F92">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start w:val="1"/>
      <w:numFmt w:val="bullet"/>
      <w:lvlText w:val=""/>
      <w:lvlJc w:val="left"/>
      <w:pPr>
        <w:tabs>
          <w:tab w:val="num" w:pos="1800"/>
        </w:tabs>
        <w:ind w:left="1800" w:hanging="360"/>
      </w:pPr>
      <w:rPr>
        <w:rFonts w:ascii="Wingdings" w:hAnsi="Wingdings" w:hint="default"/>
      </w:r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8" w15:restartNumberingAfterBreak="0">
    <w:nsid w:val="34DD3419"/>
    <w:multiLevelType w:val="hybridMultilevel"/>
    <w:tmpl w:val="A5D0A37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39762895"/>
    <w:multiLevelType w:val="hybridMultilevel"/>
    <w:tmpl w:val="168A08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AFE6BC7"/>
    <w:multiLevelType w:val="hybridMultilevel"/>
    <w:tmpl w:val="A78896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CB64A49"/>
    <w:multiLevelType w:val="hybridMultilevel"/>
    <w:tmpl w:val="24FE6E1E"/>
    <w:lvl w:ilvl="0" w:tplc="60D42786">
      <w:start w:val="1"/>
      <w:numFmt w:val="lowerRoman"/>
      <w:lvlText w:val="%1."/>
      <w:lvlJc w:val="left"/>
      <w:pPr>
        <w:ind w:left="2160" w:hanging="360"/>
      </w:pPr>
      <w:rPr>
        <w:rFonts w:hint="default"/>
      </w:rPr>
    </w:lvl>
    <w:lvl w:ilvl="1" w:tplc="60D42786">
      <w:start w:val="1"/>
      <w:numFmt w:val="lowerRoman"/>
      <w:lvlText w:val="%2."/>
      <w:lvlJc w:val="left"/>
      <w:pPr>
        <w:ind w:left="2880" w:hanging="360"/>
      </w:pPr>
      <w:rPr>
        <w:rFonts w:hint="default"/>
      </w:r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2" w15:restartNumberingAfterBreak="0">
    <w:nsid w:val="43990AB5"/>
    <w:multiLevelType w:val="hybridMultilevel"/>
    <w:tmpl w:val="02BE75F6"/>
    <w:lvl w:ilvl="0" w:tplc="04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3" w15:restartNumberingAfterBreak="0">
    <w:nsid w:val="439D21E6"/>
    <w:multiLevelType w:val="hybridMultilevel"/>
    <w:tmpl w:val="7FDCC34A"/>
    <w:lvl w:ilvl="0" w:tplc="04090001">
      <w:start w:val="1"/>
      <w:numFmt w:val="bullet"/>
      <w:lvlText w:val=""/>
      <w:lvlJc w:val="left"/>
      <w:pPr>
        <w:tabs>
          <w:tab w:val="num" w:pos="1080"/>
        </w:tabs>
        <w:ind w:left="1080" w:hanging="360"/>
      </w:pPr>
      <w:rPr>
        <w:rFonts w:ascii="Symbol" w:hAnsi="Symbol" w:hint="default"/>
      </w:rPr>
    </w:lvl>
    <w:lvl w:ilvl="1" w:tplc="04090001">
      <w:start w:val="1"/>
      <w:numFmt w:val="bullet"/>
      <w:lvlText w:val=""/>
      <w:lvlJc w:val="left"/>
      <w:pPr>
        <w:tabs>
          <w:tab w:val="num" w:pos="1800"/>
        </w:tabs>
        <w:ind w:left="1800" w:hanging="360"/>
      </w:pPr>
      <w:rPr>
        <w:rFonts w:ascii="Symbol" w:hAnsi="Symbol"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4" w15:restartNumberingAfterBreak="0">
    <w:nsid w:val="48E66718"/>
    <w:multiLevelType w:val="multilevel"/>
    <w:tmpl w:val="7F00A814"/>
    <w:lvl w:ilvl="0">
      <w:start w:val="1"/>
      <w:numFmt w:val="decimal"/>
      <w:lvlText w:val="%1.0"/>
      <w:lvlJc w:val="left"/>
      <w:pPr>
        <w:ind w:left="528" w:hanging="528"/>
      </w:pPr>
      <w:rPr>
        <w:rFonts w:hint="default"/>
      </w:rPr>
    </w:lvl>
    <w:lvl w:ilvl="1">
      <w:start w:val="1"/>
      <w:numFmt w:val="decimal"/>
      <w:lvlText w:val="%1.%2"/>
      <w:lvlJc w:val="left"/>
      <w:pPr>
        <w:ind w:left="1248" w:hanging="528"/>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5" w15:restartNumberingAfterBreak="0">
    <w:nsid w:val="490D37AC"/>
    <w:multiLevelType w:val="multilevel"/>
    <w:tmpl w:val="AFEECC92"/>
    <w:lvl w:ilvl="0">
      <w:start w:val="4"/>
      <w:numFmt w:val="decimal"/>
      <w:lvlText w:val="%1.0"/>
      <w:lvlJc w:val="left"/>
      <w:pPr>
        <w:ind w:left="528" w:hanging="528"/>
      </w:pPr>
      <w:rPr>
        <w:rFonts w:hint="default"/>
      </w:rPr>
    </w:lvl>
    <w:lvl w:ilvl="1">
      <w:start w:val="1"/>
      <w:numFmt w:val="decimal"/>
      <w:lvlText w:val="%1.%2"/>
      <w:lvlJc w:val="left"/>
      <w:pPr>
        <w:ind w:left="1248" w:hanging="528"/>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6" w15:restartNumberingAfterBreak="0">
    <w:nsid w:val="4D0741E9"/>
    <w:multiLevelType w:val="multilevel"/>
    <w:tmpl w:val="B5C871D2"/>
    <w:lvl w:ilvl="0">
      <w:start w:val="1"/>
      <w:numFmt w:val="decimal"/>
      <w:lvlText w:val="%1.0"/>
      <w:lvlJc w:val="left"/>
      <w:pPr>
        <w:ind w:left="456" w:hanging="456"/>
      </w:pPr>
      <w:rPr>
        <w:rFonts w:hint="default"/>
      </w:rPr>
    </w:lvl>
    <w:lvl w:ilvl="1">
      <w:start w:val="1"/>
      <w:numFmt w:val="decimal"/>
      <w:lvlText w:val="%1.%2"/>
      <w:lvlJc w:val="left"/>
      <w:pPr>
        <w:ind w:left="1176" w:hanging="456"/>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7" w15:restartNumberingAfterBreak="0">
    <w:nsid w:val="50550AD4"/>
    <w:multiLevelType w:val="hybridMultilevel"/>
    <w:tmpl w:val="107CC218"/>
    <w:lvl w:ilvl="0" w:tplc="04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8" w15:restartNumberingAfterBreak="0">
    <w:nsid w:val="52000F70"/>
    <w:multiLevelType w:val="hybridMultilevel"/>
    <w:tmpl w:val="EDE4F298"/>
    <w:lvl w:ilvl="0" w:tplc="6914AEFE">
      <w:start w:val="1"/>
      <w:numFmt w:val="lowerRoman"/>
      <w:lvlText w:val="(%1)"/>
      <w:lvlJc w:val="left"/>
      <w:pPr>
        <w:ind w:left="1080" w:hanging="720"/>
      </w:pPr>
      <w:rPr>
        <w:rFonts w:hint="default"/>
      </w:rPr>
    </w:lvl>
    <w:lvl w:ilvl="1" w:tplc="4E8A73E0">
      <w:start w:val="1"/>
      <w:numFmt w:val="upperLetter"/>
      <w:lvlText w:val="(%2)"/>
      <w:lvlJc w:val="left"/>
      <w:pPr>
        <w:ind w:left="1476" w:hanging="396"/>
      </w:pPr>
      <w:rPr>
        <w:rFonts w:hint="default"/>
      </w:rPr>
    </w:lvl>
    <w:lvl w:ilvl="2" w:tplc="55FE4434">
      <w:start w:val="1"/>
      <w:numFmt w:val="upperLetter"/>
      <w:lvlText w:val="(%3)"/>
      <w:lvlJc w:val="left"/>
      <w:pPr>
        <w:ind w:left="2376" w:hanging="396"/>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277604B"/>
    <w:multiLevelType w:val="hybridMultilevel"/>
    <w:tmpl w:val="CE0056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44235D7"/>
    <w:multiLevelType w:val="hybridMultilevel"/>
    <w:tmpl w:val="93E4F5B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5B664B1"/>
    <w:multiLevelType w:val="hybridMultilevel"/>
    <w:tmpl w:val="71E2626E"/>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2" w15:restartNumberingAfterBreak="0">
    <w:nsid w:val="5A7925A9"/>
    <w:multiLevelType w:val="hybridMultilevel"/>
    <w:tmpl w:val="C6040B14"/>
    <w:lvl w:ilvl="0" w:tplc="FFD663B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3" w15:restartNumberingAfterBreak="0">
    <w:nsid w:val="60A1559D"/>
    <w:multiLevelType w:val="hybridMultilevel"/>
    <w:tmpl w:val="749E37E6"/>
    <w:lvl w:ilvl="0" w:tplc="04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4" w15:restartNumberingAfterBreak="0">
    <w:nsid w:val="617D3DA2"/>
    <w:multiLevelType w:val="hybridMultilevel"/>
    <w:tmpl w:val="4B5C715E"/>
    <w:lvl w:ilvl="0" w:tplc="04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5" w15:restartNumberingAfterBreak="0">
    <w:nsid w:val="636E3AD9"/>
    <w:multiLevelType w:val="hybridMultilevel"/>
    <w:tmpl w:val="B7D01FA0"/>
    <w:lvl w:ilvl="0" w:tplc="04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6" w15:restartNumberingAfterBreak="0">
    <w:nsid w:val="63C37488"/>
    <w:multiLevelType w:val="hybridMultilevel"/>
    <w:tmpl w:val="A0CC32B0"/>
    <w:lvl w:ilvl="0" w:tplc="04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7" w15:restartNumberingAfterBreak="0">
    <w:nsid w:val="673E09E3"/>
    <w:multiLevelType w:val="hybridMultilevel"/>
    <w:tmpl w:val="F168C460"/>
    <w:lvl w:ilvl="0" w:tplc="60D42786">
      <w:start w:val="1"/>
      <w:numFmt w:val="lowerRoman"/>
      <w:lvlText w:val="%1."/>
      <w:lvlJc w:val="left"/>
      <w:pPr>
        <w:ind w:left="2160" w:hanging="360"/>
      </w:pPr>
      <w:rPr>
        <w:rFonts w:hint="default"/>
      </w:rPr>
    </w:lvl>
    <w:lvl w:ilvl="1" w:tplc="04090019">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8" w15:restartNumberingAfterBreak="0">
    <w:nsid w:val="69C63098"/>
    <w:multiLevelType w:val="hybridMultilevel"/>
    <w:tmpl w:val="F51E1B12"/>
    <w:lvl w:ilvl="0" w:tplc="04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9" w15:restartNumberingAfterBreak="0">
    <w:nsid w:val="6D6B7BE8"/>
    <w:multiLevelType w:val="hybridMultilevel"/>
    <w:tmpl w:val="B0D8C45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0" w15:restartNumberingAfterBreak="0">
    <w:nsid w:val="7226625D"/>
    <w:multiLevelType w:val="hybridMultilevel"/>
    <w:tmpl w:val="AB3C9AEC"/>
    <w:lvl w:ilvl="0" w:tplc="04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1" w15:restartNumberingAfterBreak="0">
    <w:nsid w:val="73FA0B7F"/>
    <w:multiLevelType w:val="hybridMultilevel"/>
    <w:tmpl w:val="5F8605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40A72E0"/>
    <w:multiLevelType w:val="hybridMultilevel"/>
    <w:tmpl w:val="3B685D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5020F55"/>
    <w:multiLevelType w:val="hybridMultilevel"/>
    <w:tmpl w:val="E110C04A"/>
    <w:lvl w:ilvl="0" w:tplc="04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4" w15:restartNumberingAfterBreak="0">
    <w:nsid w:val="75A46FE9"/>
    <w:multiLevelType w:val="hybridMultilevel"/>
    <w:tmpl w:val="32183182"/>
    <w:lvl w:ilvl="0" w:tplc="751669D6">
      <w:start w:val="1"/>
      <w:numFmt w:val="upperLetter"/>
      <w:lvlText w:val="(%1)"/>
      <w:lvlJc w:val="left"/>
      <w:pPr>
        <w:ind w:left="1080" w:hanging="360"/>
      </w:pPr>
      <w:rPr>
        <w:rFonts w:ascii="Times New Roman" w:eastAsia="Times New Roman" w:hAnsi="Times New Roman" w:hint="default"/>
        <w:spacing w:val="-1"/>
        <w:sz w:val="24"/>
        <w:szCs w:val="24"/>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5" w15:restartNumberingAfterBreak="0">
    <w:nsid w:val="7F1B78CA"/>
    <w:multiLevelType w:val="multilevel"/>
    <w:tmpl w:val="430232A2"/>
    <w:lvl w:ilvl="0">
      <w:start w:val="1"/>
      <w:numFmt w:val="decimal"/>
      <w:lvlText w:val="%1.0"/>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4320" w:hanging="1440"/>
      </w:pPr>
      <w:rPr>
        <w:rFonts w:hint="default"/>
      </w:rPr>
    </w:lvl>
    <w:lvl w:ilvl="5">
      <w:start w:val="1"/>
      <w:numFmt w:val="decimal"/>
      <w:lvlText w:val="%1.%2.%3.%4.%5.%6"/>
      <w:lvlJc w:val="left"/>
      <w:pPr>
        <w:ind w:left="5400" w:hanging="180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7200" w:hanging="2160"/>
      </w:pPr>
      <w:rPr>
        <w:rFonts w:hint="default"/>
      </w:rPr>
    </w:lvl>
    <w:lvl w:ilvl="8">
      <w:start w:val="1"/>
      <w:numFmt w:val="decimal"/>
      <w:lvlText w:val="%1.%2.%3.%4.%5.%6.%7.%8.%9"/>
      <w:lvlJc w:val="left"/>
      <w:pPr>
        <w:ind w:left="8280" w:hanging="2520"/>
      </w:pPr>
      <w:rPr>
        <w:rFonts w:hint="default"/>
      </w:rPr>
    </w:lvl>
  </w:abstractNum>
  <w:num w:numId="1">
    <w:abstractNumId w:val="18"/>
  </w:num>
  <w:num w:numId="2">
    <w:abstractNumId w:val="5"/>
  </w:num>
  <w:num w:numId="3">
    <w:abstractNumId w:val="16"/>
  </w:num>
  <w:num w:numId="4">
    <w:abstractNumId w:val="15"/>
  </w:num>
  <w:num w:numId="5">
    <w:abstractNumId w:val="23"/>
  </w:num>
  <w:num w:numId="6">
    <w:abstractNumId w:val="6"/>
  </w:num>
  <w:num w:numId="7">
    <w:abstractNumId w:val="8"/>
  </w:num>
  <w:num w:numId="8">
    <w:abstractNumId w:val="34"/>
  </w:num>
  <w:num w:numId="9">
    <w:abstractNumId w:val="9"/>
  </w:num>
  <w:num w:numId="10">
    <w:abstractNumId w:val="33"/>
  </w:num>
  <w:num w:numId="11">
    <w:abstractNumId w:val="4"/>
  </w:num>
  <w:num w:numId="12">
    <w:abstractNumId w:val="27"/>
  </w:num>
  <w:num w:numId="13">
    <w:abstractNumId w:val="22"/>
  </w:num>
  <w:num w:numId="14">
    <w:abstractNumId w:val="35"/>
  </w:num>
  <w:num w:numId="15">
    <w:abstractNumId w:val="36"/>
  </w:num>
  <w:num w:numId="16">
    <w:abstractNumId w:val="43"/>
  </w:num>
  <w:num w:numId="17">
    <w:abstractNumId w:val="1"/>
  </w:num>
  <w:num w:numId="18">
    <w:abstractNumId w:val="40"/>
  </w:num>
  <w:num w:numId="19">
    <w:abstractNumId w:val="38"/>
  </w:num>
  <w:num w:numId="20">
    <w:abstractNumId w:val="17"/>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2"/>
  </w:num>
  <w:num w:numId="22">
    <w:abstractNumId w:val="3"/>
  </w:num>
  <w:num w:numId="23">
    <w:abstractNumId w:val="26"/>
  </w:num>
  <w:num w:numId="24">
    <w:abstractNumId w:val="24"/>
  </w:num>
  <w:num w:numId="25">
    <w:abstractNumId w:val="25"/>
  </w:num>
  <w:num w:numId="26">
    <w:abstractNumId w:val="45"/>
  </w:num>
  <w:num w:numId="27">
    <w:abstractNumId w:val="30"/>
  </w:num>
  <w:num w:numId="28">
    <w:abstractNumId w:val="41"/>
  </w:num>
  <w:num w:numId="29">
    <w:abstractNumId w:val="20"/>
  </w:num>
  <w:num w:numId="30">
    <w:abstractNumId w:val="11"/>
  </w:num>
  <w:num w:numId="31">
    <w:abstractNumId w:val="28"/>
  </w:num>
  <w:num w:numId="32">
    <w:abstractNumId w:val="44"/>
  </w:num>
  <w:num w:numId="33">
    <w:abstractNumId w:val="39"/>
  </w:num>
  <w:num w:numId="34">
    <w:abstractNumId w:val="13"/>
  </w:num>
  <w:num w:numId="35">
    <w:abstractNumId w:val="14"/>
  </w:num>
  <w:num w:numId="36">
    <w:abstractNumId w:val="7"/>
  </w:num>
  <w:num w:numId="37">
    <w:abstractNumId w:val="0"/>
  </w:num>
  <w:num w:numId="38">
    <w:abstractNumId w:val="10"/>
  </w:num>
  <w:num w:numId="39">
    <w:abstractNumId w:val="2"/>
  </w:num>
  <w:num w:numId="40">
    <w:abstractNumId w:val="32"/>
  </w:num>
  <w:num w:numId="41">
    <w:abstractNumId w:val="37"/>
  </w:num>
  <w:num w:numId="42">
    <w:abstractNumId w:val="21"/>
  </w:num>
  <w:num w:numId="43">
    <w:abstractNumId w:val="31"/>
  </w:num>
  <w:num w:numId="44">
    <w:abstractNumId w:val="19"/>
  </w:num>
  <w:num w:numId="45">
    <w:abstractNumId w:val="42"/>
  </w:num>
  <w:num w:numId="46">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44E24"/>
    <w:rsid w:val="000009E5"/>
    <w:rsid w:val="00001E37"/>
    <w:rsid w:val="000063DD"/>
    <w:rsid w:val="000136BA"/>
    <w:rsid w:val="000152C7"/>
    <w:rsid w:val="00017B5D"/>
    <w:rsid w:val="00017ED2"/>
    <w:rsid w:val="00023BE3"/>
    <w:rsid w:val="000263C1"/>
    <w:rsid w:val="00027433"/>
    <w:rsid w:val="00031CC0"/>
    <w:rsid w:val="00033396"/>
    <w:rsid w:val="0003750C"/>
    <w:rsid w:val="0004290B"/>
    <w:rsid w:val="000449FC"/>
    <w:rsid w:val="0004508B"/>
    <w:rsid w:val="000466CB"/>
    <w:rsid w:val="00046795"/>
    <w:rsid w:val="00050263"/>
    <w:rsid w:val="00050F36"/>
    <w:rsid w:val="000545E6"/>
    <w:rsid w:val="00054F4E"/>
    <w:rsid w:val="00055538"/>
    <w:rsid w:val="00055576"/>
    <w:rsid w:val="00062EDB"/>
    <w:rsid w:val="000638E6"/>
    <w:rsid w:val="00063DD0"/>
    <w:rsid w:val="00065309"/>
    <w:rsid w:val="000656BA"/>
    <w:rsid w:val="00070DB3"/>
    <w:rsid w:val="000718AD"/>
    <w:rsid w:val="000738B7"/>
    <w:rsid w:val="00075C49"/>
    <w:rsid w:val="0007769F"/>
    <w:rsid w:val="0008384D"/>
    <w:rsid w:val="0008418A"/>
    <w:rsid w:val="00092310"/>
    <w:rsid w:val="00097CD4"/>
    <w:rsid w:val="000A27DD"/>
    <w:rsid w:val="000A2D31"/>
    <w:rsid w:val="000A4DA2"/>
    <w:rsid w:val="000A62A6"/>
    <w:rsid w:val="000B19DE"/>
    <w:rsid w:val="000B2167"/>
    <w:rsid w:val="000B3D81"/>
    <w:rsid w:val="000B543C"/>
    <w:rsid w:val="000B54B8"/>
    <w:rsid w:val="000B68FE"/>
    <w:rsid w:val="000B796D"/>
    <w:rsid w:val="000C0887"/>
    <w:rsid w:val="000C0938"/>
    <w:rsid w:val="000C2A49"/>
    <w:rsid w:val="000C2BA6"/>
    <w:rsid w:val="000C3F05"/>
    <w:rsid w:val="000C42D5"/>
    <w:rsid w:val="000C6F74"/>
    <w:rsid w:val="000C794F"/>
    <w:rsid w:val="000D5EE4"/>
    <w:rsid w:val="000D7CFC"/>
    <w:rsid w:val="000D7E8C"/>
    <w:rsid w:val="000E28C8"/>
    <w:rsid w:val="000E6311"/>
    <w:rsid w:val="000E7F57"/>
    <w:rsid w:val="000F59B3"/>
    <w:rsid w:val="000F71EF"/>
    <w:rsid w:val="0010252A"/>
    <w:rsid w:val="00105D7B"/>
    <w:rsid w:val="001128A5"/>
    <w:rsid w:val="00113D1D"/>
    <w:rsid w:val="00115F20"/>
    <w:rsid w:val="00116153"/>
    <w:rsid w:val="00116B42"/>
    <w:rsid w:val="00124587"/>
    <w:rsid w:val="00127916"/>
    <w:rsid w:val="00133301"/>
    <w:rsid w:val="001341D4"/>
    <w:rsid w:val="0013504F"/>
    <w:rsid w:val="00136BE0"/>
    <w:rsid w:val="00140D35"/>
    <w:rsid w:val="0014729D"/>
    <w:rsid w:val="001552A1"/>
    <w:rsid w:val="001563F5"/>
    <w:rsid w:val="00157882"/>
    <w:rsid w:val="00161A53"/>
    <w:rsid w:val="00163B60"/>
    <w:rsid w:val="00165103"/>
    <w:rsid w:val="001663F5"/>
    <w:rsid w:val="0016765A"/>
    <w:rsid w:val="00172C28"/>
    <w:rsid w:val="00174D10"/>
    <w:rsid w:val="0017610B"/>
    <w:rsid w:val="00181021"/>
    <w:rsid w:val="00190714"/>
    <w:rsid w:val="0019552B"/>
    <w:rsid w:val="001A061A"/>
    <w:rsid w:val="001A300F"/>
    <w:rsid w:val="001A55F0"/>
    <w:rsid w:val="001A7287"/>
    <w:rsid w:val="001A7BFA"/>
    <w:rsid w:val="001B0112"/>
    <w:rsid w:val="001B0243"/>
    <w:rsid w:val="001B07BF"/>
    <w:rsid w:val="001B2F8A"/>
    <w:rsid w:val="001B713D"/>
    <w:rsid w:val="001C0252"/>
    <w:rsid w:val="001C183A"/>
    <w:rsid w:val="001C23FD"/>
    <w:rsid w:val="001C46F5"/>
    <w:rsid w:val="001D1BE5"/>
    <w:rsid w:val="001D1F57"/>
    <w:rsid w:val="001D6341"/>
    <w:rsid w:val="001D68F0"/>
    <w:rsid w:val="001E3197"/>
    <w:rsid w:val="001E5F28"/>
    <w:rsid w:val="002015BB"/>
    <w:rsid w:val="002024BE"/>
    <w:rsid w:val="0020410A"/>
    <w:rsid w:val="002056F0"/>
    <w:rsid w:val="00207377"/>
    <w:rsid w:val="00230E45"/>
    <w:rsid w:val="0023498A"/>
    <w:rsid w:val="00235E08"/>
    <w:rsid w:val="002378DE"/>
    <w:rsid w:val="00240637"/>
    <w:rsid w:val="00242B20"/>
    <w:rsid w:val="00243AA5"/>
    <w:rsid w:val="0024522E"/>
    <w:rsid w:val="002469C0"/>
    <w:rsid w:val="00246A96"/>
    <w:rsid w:val="002506CD"/>
    <w:rsid w:val="00252411"/>
    <w:rsid w:val="00253A43"/>
    <w:rsid w:val="002544D3"/>
    <w:rsid w:val="00255DC9"/>
    <w:rsid w:val="00255FD7"/>
    <w:rsid w:val="00256841"/>
    <w:rsid w:val="0027195F"/>
    <w:rsid w:val="00273F18"/>
    <w:rsid w:val="002749C1"/>
    <w:rsid w:val="002806B4"/>
    <w:rsid w:val="0028223B"/>
    <w:rsid w:val="00282D9B"/>
    <w:rsid w:val="00286729"/>
    <w:rsid w:val="00291CCD"/>
    <w:rsid w:val="00294DBF"/>
    <w:rsid w:val="00297D31"/>
    <w:rsid w:val="002A1617"/>
    <w:rsid w:val="002A3C18"/>
    <w:rsid w:val="002A7061"/>
    <w:rsid w:val="002B2032"/>
    <w:rsid w:val="002B41B2"/>
    <w:rsid w:val="002B594B"/>
    <w:rsid w:val="002B7997"/>
    <w:rsid w:val="002C15F7"/>
    <w:rsid w:val="002C7559"/>
    <w:rsid w:val="002C7687"/>
    <w:rsid w:val="002D50A7"/>
    <w:rsid w:val="002E3C26"/>
    <w:rsid w:val="002F155B"/>
    <w:rsid w:val="002F4A2E"/>
    <w:rsid w:val="002F7958"/>
    <w:rsid w:val="00300946"/>
    <w:rsid w:val="0030412A"/>
    <w:rsid w:val="00304675"/>
    <w:rsid w:val="00304DF3"/>
    <w:rsid w:val="00304E70"/>
    <w:rsid w:val="00312127"/>
    <w:rsid w:val="00312AFC"/>
    <w:rsid w:val="00327001"/>
    <w:rsid w:val="00332F85"/>
    <w:rsid w:val="00333E8D"/>
    <w:rsid w:val="0033632B"/>
    <w:rsid w:val="00336EDC"/>
    <w:rsid w:val="00347368"/>
    <w:rsid w:val="00351967"/>
    <w:rsid w:val="00356A25"/>
    <w:rsid w:val="00357424"/>
    <w:rsid w:val="00361501"/>
    <w:rsid w:val="00362E3C"/>
    <w:rsid w:val="00363215"/>
    <w:rsid w:val="003672AF"/>
    <w:rsid w:val="00373002"/>
    <w:rsid w:val="0038714C"/>
    <w:rsid w:val="00393AF4"/>
    <w:rsid w:val="00394B5F"/>
    <w:rsid w:val="00395193"/>
    <w:rsid w:val="003B1ACB"/>
    <w:rsid w:val="003B1CB6"/>
    <w:rsid w:val="003B29A3"/>
    <w:rsid w:val="003B3080"/>
    <w:rsid w:val="003B42BD"/>
    <w:rsid w:val="003B5D31"/>
    <w:rsid w:val="003B7D35"/>
    <w:rsid w:val="003C3545"/>
    <w:rsid w:val="003C5A89"/>
    <w:rsid w:val="003D104E"/>
    <w:rsid w:val="003D2F13"/>
    <w:rsid w:val="003D47A4"/>
    <w:rsid w:val="003D5241"/>
    <w:rsid w:val="003D52DB"/>
    <w:rsid w:val="003D6861"/>
    <w:rsid w:val="003D768F"/>
    <w:rsid w:val="003D7911"/>
    <w:rsid w:val="003D7EEE"/>
    <w:rsid w:val="003E0264"/>
    <w:rsid w:val="003E17A1"/>
    <w:rsid w:val="003E292F"/>
    <w:rsid w:val="003E3541"/>
    <w:rsid w:val="003E619D"/>
    <w:rsid w:val="003E626B"/>
    <w:rsid w:val="003F30B4"/>
    <w:rsid w:val="003F40A8"/>
    <w:rsid w:val="003F51CC"/>
    <w:rsid w:val="003F6768"/>
    <w:rsid w:val="0040387A"/>
    <w:rsid w:val="00403D96"/>
    <w:rsid w:val="00405F73"/>
    <w:rsid w:val="0041020F"/>
    <w:rsid w:val="00412FC0"/>
    <w:rsid w:val="004151F1"/>
    <w:rsid w:val="0041704D"/>
    <w:rsid w:val="0041731B"/>
    <w:rsid w:val="004208AA"/>
    <w:rsid w:val="00423BE9"/>
    <w:rsid w:val="00425817"/>
    <w:rsid w:val="004258A8"/>
    <w:rsid w:val="00426264"/>
    <w:rsid w:val="00426907"/>
    <w:rsid w:val="00432C25"/>
    <w:rsid w:val="00432ED8"/>
    <w:rsid w:val="00432F29"/>
    <w:rsid w:val="00433A78"/>
    <w:rsid w:val="00445293"/>
    <w:rsid w:val="0045039F"/>
    <w:rsid w:val="00450818"/>
    <w:rsid w:val="00460222"/>
    <w:rsid w:val="004634F0"/>
    <w:rsid w:val="004675F9"/>
    <w:rsid w:val="004748BF"/>
    <w:rsid w:val="00474E2A"/>
    <w:rsid w:val="00477963"/>
    <w:rsid w:val="00477E14"/>
    <w:rsid w:val="00482BAD"/>
    <w:rsid w:val="00483CCA"/>
    <w:rsid w:val="00484C16"/>
    <w:rsid w:val="00487417"/>
    <w:rsid w:val="00492151"/>
    <w:rsid w:val="00495D5F"/>
    <w:rsid w:val="00496099"/>
    <w:rsid w:val="00496E55"/>
    <w:rsid w:val="004A01D2"/>
    <w:rsid w:val="004A367B"/>
    <w:rsid w:val="004A3AA7"/>
    <w:rsid w:val="004A4987"/>
    <w:rsid w:val="004A6BA7"/>
    <w:rsid w:val="004A7C8A"/>
    <w:rsid w:val="004B1EBD"/>
    <w:rsid w:val="004B3684"/>
    <w:rsid w:val="004C1AC2"/>
    <w:rsid w:val="004C251E"/>
    <w:rsid w:val="004C3732"/>
    <w:rsid w:val="004C47B5"/>
    <w:rsid w:val="004C6907"/>
    <w:rsid w:val="004D2E7F"/>
    <w:rsid w:val="004D45F3"/>
    <w:rsid w:val="004D6372"/>
    <w:rsid w:val="004D74B1"/>
    <w:rsid w:val="004E2152"/>
    <w:rsid w:val="004E35BA"/>
    <w:rsid w:val="004E507E"/>
    <w:rsid w:val="004E565C"/>
    <w:rsid w:val="004E5BF8"/>
    <w:rsid w:val="004F04A1"/>
    <w:rsid w:val="004F482B"/>
    <w:rsid w:val="004F56BB"/>
    <w:rsid w:val="00500B86"/>
    <w:rsid w:val="00503E81"/>
    <w:rsid w:val="00505B7F"/>
    <w:rsid w:val="00507022"/>
    <w:rsid w:val="00512208"/>
    <w:rsid w:val="00521927"/>
    <w:rsid w:val="00526D00"/>
    <w:rsid w:val="005331EB"/>
    <w:rsid w:val="00534CDF"/>
    <w:rsid w:val="00535B6C"/>
    <w:rsid w:val="0054058F"/>
    <w:rsid w:val="00543212"/>
    <w:rsid w:val="00543249"/>
    <w:rsid w:val="005466DC"/>
    <w:rsid w:val="0055172B"/>
    <w:rsid w:val="00551824"/>
    <w:rsid w:val="00552652"/>
    <w:rsid w:val="0055336E"/>
    <w:rsid w:val="0055505D"/>
    <w:rsid w:val="00560ECA"/>
    <w:rsid w:val="00562510"/>
    <w:rsid w:val="00566FE3"/>
    <w:rsid w:val="00570710"/>
    <w:rsid w:val="00571AD3"/>
    <w:rsid w:val="00574103"/>
    <w:rsid w:val="0057520A"/>
    <w:rsid w:val="005769DE"/>
    <w:rsid w:val="0057746E"/>
    <w:rsid w:val="005775C8"/>
    <w:rsid w:val="00583CB0"/>
    <w:rsid w:val="00586615"/>
    <w:rsid w:val="005959FD"/>
    <w:rsid w:val="0059752C"/>
    <w:rsid w:val="005A27CE"/>
    <w:rsid w:val="005A5CC3"/>
    <w:rsid w:val="005A5CD8"/>
    <w:rsid w:val="005A7B9B"/>
    <w:rsid w:val="005B1322"/>
    <w:rsid w:val="005B1504"/>
    <w:rsid w:val="005C3EC4"/>
    <w:rsid w:val="005C41F3"/>
    <w:rsid w:val="005C4620"/>
    <w:rsid w:val="005C7B0B"/>
    <w:rsid w:val="005D24DB"/>
    <w:rsid w:val="005D41CE"/>
    <w:rsid w:val="005D543B"/>
    <w:rsid w:val="005D7DAE"/>
    <w:rsid w:val="005E28F5"/>
    <w:rsid w:val="005E2A61"/>
    <w:rsid w:val="005E4463"/>
    <w:rsid w:val="005E5B86"/>
    <w:rsid w:val="005E7FDE"/>
    <w:rsid w:val="005F020C"/>
    <w:rsid w:val="005F4354"/>
    <w:rsid w:val="005F5A97"/>
    <w:rsid w:val="005F5DA0"/>
    <w:rsid w:val="00601A68"/>
    <w:rsid w:val="00605523"/>
    <w:rsid w:val="0060621F"/>
    <w:rsid w:val="0060783B"/>
    <w:rsid w:val="006162CA"/>
    <w:rsid w:val="0062750E"/>
    <w:rsid w:val="00630251"/>
    <w:rsid w:val="006307A7"/>
    <w:rsid w:val="00632B41"/>
    <w:rsid w:val="00634649"/>
    <w:rsid w:val="00641425"/>
    <w:rsid w:val="006475F2"/>
    <w:rsid w:val="00652336"/>
    <w:rsid w:val="00652384"/>
    <w:rsid w:val="00652D34"/>
    <w:rsid w:val="006539F8"/>
    <w:rsid w:val="00654463"/>
    <w:rsid w:val="006574DA"/>
    <w:rsid w:val="00661363"/>
    <w:rsid w:val="0066530B"/>
    <w:rsid w:val="00665435"/>
    <w:rsid w:val="00666020"/>
    <w:rsid w:val="00667F31"/>
    <w:rsid w:val="00670062"/>
    <w:rsid w:val="00670695"/>
    <w:rsid w:val="00670919"/>
    <w:rsid w:val="00671ECB"/>
    <w:rsid w:val="00672C37"/>
    <w:rsid w:val="00674AFC"/>
    <w:rsid w:val="00677899"/>
    <w:rsid w:val="006853FE"/>
    <w:rsid w:val="00686EFF"/>
    <w:rsid w:val="006A0231"/>
    <w:rsid w:val="006A16E9"/>
    <w:rsid w:val="006A4EB1"/>
    <w:rsid w:val="006A5B3D"/>
    <w:rsid w:val="006A5DFF"/>
    <w:rsid w:val="006A5F3F"/>
    <w:rsid w:val="006B0544"/>
    <w:rsid w:val="006B055F"/>
    <w:rsid w:val="006B2116"/>
    <w:rsid w:val="006B353C"/>
    <w:rsid w:val="006C1E6B"/>
    <w:rsid w:val="006D0DFD"/>
    <w:rsid w:val="006D2AE3"/>
    <w:rsid w:val="006D3A92"/>
    <w:rsid w:val="006E0446"/>
    <w:rsid w:val="006E3C6C"/>
    <w:rsid w:val="006E464A"/>
    <w:rsid w:val="006E4732"/>
    <w:rsid w:val="006E4FC6"/>
    <w:rsid w:val="006E543D"/>
    <w:rsid w:val="006F07EF"/>
    <w:rsid w:val="006F1AD9"/>
    <w:rsid w:val="00700BF6"/>
    <w:rsid w:val="007037A4"/>
    <w:rsid w:val="00704B8A"/>
    <w:rsid w:val="00704C2B"/>
    <w:rsid w:val="007050D8"/>
    <w:rsid w:val="007050EA"/>
    <w:rsid w:val="007147F7"/>
    <w:rsid w:val="00722F2F"/>
    <w:rsid w:val="007277A5"/>
    <w:rsid w:val="00736D90"/>
    <w:rsid w:val="00737178"/>
    <w:rsid w:val="007464BD"/>
    <w:rsid w:val="00746815"/>
    <w:rsid w:val="0075038E"/>
    <w:rsid w:val="007563B5"/>
    <w:rsid w:val="0076117A"/>
    <w:rsid w:val="0076130D"/>
    <w:rsid w:val="0076345E"/>
    <w:rsid w:val="007674FB"/>
    <w:rsid w:val="007678EB"/>
    <w:rsid w:val="00767AF9"/>
    <w:rsid w:val="00772372"/>
    <w:rsid w:val="00772D11"/>
    <w:rsid w:val="007764AD"/>
    <w:rsid w:val="007773B8"/>
    <w:rsid w:val="007774B2"/>
    <w:rsid w:val="00780CD5"/>
    <w:rsid w:val="00781A12"/>
    <w:rsid w:val="00782151"/>
    <w:rsid w:val="007825C2"/>
    <w:rsid w:val="007848EB"/>
    <w:rsid w:val="0079006E"/>
    <w:rsid w:val="007902A0"/>
    <w:rsid w:val="0079143F"/>
    <w:rsid w:val="00795D54"/>
    <w:rsid w:val="00797574"/>
    <w:rsid w:val="007A2A58"/>
    <w:rsid w:val="007B122A"/>
    <w:rsid w:val="007B44A7"/>
    <w:rsid w:val="007B454E"/>
    <w:rsid w:val="007C1766"/>
    <w:rsid w:val="007C1E3F"/>
    <w:rsid w:val="007C7956"/>
    <w:rsid w:val="007D6BE3"/>
    <w:rsid w:val="007D6E6C"/>
    <w:rsid w:val="007D7DCF"/>
    <w:rsid w:val="007E26F6"/>
    <w:rsid w:val="007E4666"/>
    <w:rsid w:val="007E4947"/>
    <w:rsid w:val="007E5673"/>
    <w:rsid w:val="007E5A44"/>
    <w:rsid w:val="007F01C6"/>
    <w:rsid w:val="007F2CBA"/>
    <w:rsid w:val="007F2F29"/>
    <w:rsid w:val="007F3D6A"/>
    <w:rsid w:val="007F73D0"/>
    <w:rsid w:val="00803692"/>
    <w:rsid w:val="00804F5C"/>
    <w:rsid w:val="00805347"/>
    <w:rsid w:val="008057E3"/>
    <w:rsid w:val="00805C46"/>
    <w:rsid w:val="008066D1"/>
    <w:rsid w:val="008067F9"/>
    <w:rsid w:val="00806AA3"/>
    <w:rsid w:val="00815536"/>
    <w:rsid w:val="00815ED7"/>
    <w:rsid w:val="008163E0"/>
    <w:rsid w:val="00820B7C"/>
    <w:rsid w:val="008216D9"/>
    <w:rsid w:val="00825FAD"/>
    <w:rsid w:val="00825FBD"/>
    <w:rsid w:val="0082645E"/>
    <w:rsid w:val="00826499"/>
    <w:rsid w:val="00832EAA"/>
    <w:rsid w:val="00834342"/>
    <w:rsid w:val="008474F3"/>
    <w:rsid w:val="00847B90"/>
    <w:rsid w:val="00851A8E"/>
    <w:rsid w:val="008531C7"/>
    <w:rsid w:val="0085478F"/>
    <w:rsid w:val="00854D10"/>
    <w:rsid w:val="008575E2"/>
    <w:rsid w:val="008603F5"/>
    <w:rsid w:val="00863910"/>
    <w:rsid w:val="0086758F"/>
    <w:rsid w:val="008711DF"/>
    <w:rsid w:val="0087229B"/>
    <w:rsid w:val="0087425C"/>
    <w:rsid w:val="0088283A"/>
    <w:rsid w:val="00882958"/>
    <w:rsid w:val="00882FCB"/>
    <w:rsid w:val="00883948"/>
    <w:rsid w:val="00885145"/>
    <w:rsid w:val="008938F2"/>
    <w:rsid w:val="00895E98"/>
    <w:rsid w:val="008A3D6B"/>
    <w:rsid w:val="008A4E56"/>
    <w:rsid w:val="008A57AB"/>
    <w:rsid w:val="008A5CF9"/>
    <w:rsid w:val="008A71A2"/>
    <w:rsid w:val="008B3F4F"/>
    <w:rsid w:val="008B6A76"/>
    <w:rsid w:val="008B7D72"/>
    <w:rsid w:val="008B7E65"/>
    <w:rsid w:val="008D0329"/>
    <w:rsid w:val="008D0D3C"/>
    <w:rsid w:val="008D0FC4"/>
    <w:rsid w:val="008D3CE5"/>
    <w:rsid w:val="008D6DF4"/>
    <w:rsid w:val="008E0754"/>
    <w:rsid w:val="008E7308"/>
    <w:rsid w:val="008F0CE5"/>
    <w:rsid w:val="008F5CB9"/>
    <w:rsid w:val="00902E85"/>
    <w:rsid w:val="0090490B"/>
    <w:rsid w:val="00912AB3"/>
    <w:rsid w:val="00912DB0"/>
    <w:rsid w:val="00914AAA"/>
    <w:rsid w:val="009153C8"/>
    <w:rsid w:val="00923111"/>
    <w:rsid w:val="0092448C"/>
    <w:rsid w:val="00927914"/>
    <w:rsid w:val="00932F8F"/>
    <w:rsid w:val="00940BD4"/>
    <w:rsid w:val="009503CF"/>
    <w:rsid w:val="009515CA"/>
    <w:rsid w:val="009515E5"/>
    <w:rsid w:val="009538A5"/>
    <w:rsid w:val="009538F6"/>
    <w:rsid w:val="00955877"/>
    <w:rsid w:val="0096379E"/>
    <w:rsid w:val="00963829"/>
    <w:rsid w:val="00971581"/>
    <w:rsid w:val="00974474"/>
    <w:rsid w:val="00974C2E"/>
    <w:rsid w:val="00982A06"/>
    <w:rsid w:val="00982B9F"/>
    <w:rsid w:val="0098581A"/>
    <w:rsid w:val="009A1685"/>
    <w:rsid w:val="009A1760"/>
    <w:rsid w:val="009A1A89"/>
    <w:rsid w:val="009A1DB9"/>
    <w:rsid w:val="009A561C"/>
    <w:rsid w:val="009A5889"/>
    <w:rsid w:val="009B02A8"/>
    <w:rsid w:val="009B1340"/>
    <w:rsid w:val="009B2190"/>
    <w:rsid w:val="009B2326"/>
    <w:rsid w:val="009B26FC"/>
    <w:rsid w:val="009B454F"/>
    <w:rsid w:val="009B73E6"/>
    <w:rsid w:val="009C34C2"/>
    <w:rsid w:val="009D5A77"/>
    <w:rsid w:val="009D739C"/>
    <w:rsid w:val="009E1DB2"/>
    <w:rsid w:val="009E795F"/>
    <w:rsid w:val="009F721E"/>
    <w:rsid w:val="00A043E1"/>
    <w:rsid w:val="00A05A9B"/>
    <w:rsid w:val="00A14C17"/>
    <w:rsid w:val="00A164B4"/>
    <w:rsid w:val="00A1775F"/>
    <w:rsid w:val="00A205AD"/>
    <w:rsid w:val="00A22160"/>
    <w:rsid w:val="00A260B0"/>
    <w:rsid w:val="00A30B26"/>
    <w:rsid w:val="00A3278B"/>
    <w:rsid w:val="00A33569"/>
    <w:rsid w:val="00A369C5"/>
    <w:rsid w:val="00A42E4B"/>
    <w:rsid w:val="00A44ACB"/>
    <w:rsid w:val="00A455FD"/>
    <w:rsid w:val="00A461C4"/>
    <w:rsid w:val="00A467AA"/>
    <w:rsid w:val="00A5019D"/>
    <w:rsid w:val="00A51E26"/>
    <w:rsid w:val="00A54314"/>
    <w:rsid w:val="00A54344"/>
    <w:rsid w:val="00A55EE0"/>
    <w:rsid w:val="00A70D15"/>
    <w:rsid w:val="00A80CE4"/>
    <w:rsid w:val="00A821F7"/>
    <w:rsid w:val="00A83A47"/>
    <w:rsid w:val="00A871EA"/>
    <w:rsid w:val="00A90F19"/>
    <w:rsid w:val="00A911A2"/>
    <w:rsid w:val="00A9314C"/>
    <w:rsid w:val="00A951FA"/>
    <w:rsid w:val="00A956A9"/>
    <w:rsid w:val="00AA0086"/>
    <w:rsid w:val="00AA1216"/>
    <w:rsid w:val="00AA1E8C"/>
    <w:rsid w:val="00AA271B"/>
    <w:rsid w:val="00AA3FC6"/>
    <w:rsid w:val="00AB080B"/>
    <w:rsid w:val="00AB0FEE"/>
    <w:rsid w:val="00AB23DE"/>
    <w:rsid w:val="00AB3EA6"/>
    <w:rsid w:val="00AB4989"/>
    <w:rsid w:val="00AB617D"/>
    <w:rsid w:val="00AC228E"/>
    <w:rsid w:val="00AC7814"/>
    <w:rsid w:val="00AD04B5"/>
    <w:rsid w:val="00AD0EED"/>
    <w:rsid w:val="00AD59D9"/>
    <w:rsid w:val="00AD6373"/>
    <w:rsid w:val="00AE2482"/>
    <w:rsid w:val="00AE5DC4"/>
    <w:rsid w:val="00AF3B2E"/>
    <w:rsid w:val="00B00BC1"/>
    <w:rsid w:val="00B0206F"/>
    <w:rsid w:val="00B022FE"/>
    <w:rsid w:val="00B0271A"/>
    <w:rsid w:val="00B037E7"/>
    <w:rsid w:val="00B14792"/>
    <w:rsid w:val="00B22795"/>
    <w:rsid w:val="00B24CEC"/>
    <w:rsid w:val="00B25FAC"/>
    <w:rsid w:val="00B3113A"/>
    <w:rsid w:val="00B314C7"/>
    <w:rsid w:val="00B41E40"/>
    <w:rsid w:val="00B426B3"/>
    <w:rsid w:val="00B502B4"/>
    <w:rsid w:val="00B50908"/>
    <w:rsid w:val="00B51252"/>
    <w:rsid w:val="00B5370B"/>
    <w:rsid w:val="00B5776F"/>
    <w:rsid w:val="00B65019"/>
    <w:rsid w:val="00B67D00"/>
    <w:rsid w:val="00B704EA"/>
    <w:rsid w:val="00B70DE9"/>
    <w:rsid w:val="00B725FB"/>
    <w:rsid w:val="00B74184"/>
    <w:rsid w:val="00B74803"/>
    <w:rsid w:val="00B748B3"/>
    <w:rsid w:val="00B74F7C"/>
    <w:rsid w:val="00B75D8C"/>
    <w:rsid w:val="00B77808"/>
    <w:rsid w:val="00B80073"/>
    <w:rsid w:val="00B879CA"/>
    <w:rsid w:val="00B9310A"/>
    <w:rsid w:val="00B945EB"/>
    <w:rsid w:val="00B94AD0"/>
    <w:rsid w:val="00B966E0"/>
    <w:rsid w:val="00BA0EF0"/>
    <w:rsid w:val="00BA5C92"/>
    <w:rsid w:val="00BA70B9"/>
    <w:rsid w:val="00BB1011"/>
    <w:rsid w:val="00BB1360"/>
    <w:rsid w:val="00BB1C64"/>
    <w:rsid w:val="00BB1CB8"/>
    <w:rsid w:val="00BB1D21"/>
    <w:rsid w:val="00BB36BF"/>
    <w:rsid w:val="00BB3C2E"/>
    <w:rsid w:val="00BB4AAF"/>
    <w:rsid w:val="00BB5F95"/>
    <w:rsid w:val="00BC51D3"/>
    <w:rsid w:val="00BC5F6D"/>
    <w:rsid w:val="00BD174F"/>
    <w:rsid w:val="00BD61F1"/>
    <w:rsid w:val="00BD6305"/>
    <w:rsid w:val="00BD6A40"/>
    <w:rsid w:val="00BD737D"/>
    <w:rsid w:val="00BE13B4"/>
    <w:rsid w:val="00BE5907"/>
    <w:rsid w:val="00BF58BB"/>
    <w:rsid w:val="00BF6B3C"/>
    <w:rsid w:val="00BF7304"/>
    <w:rsid w:val="00C0103B"/>
    <w:rsid w:val="00C02A12"/>
    <w:rsid w:val="00C1100C"/>
    <w:rsid w:val="00C16958"/>
    <w:rsid w:val="00C16EDE"/>
    <w:rsid w:val="00C216D5"/>
    <w:rsid w:val="00C250C5"/>
    <w:rsid w:val="00C3137C"/>
    <w:rsid w:val="00C34948"/>
    <w:rsid w:val="00C379BF"/>
    <w:rsid w:val="00C42F53"/>
    <w:rsid w:val="00C44E24"/>
    <w:rsid w:val="00C454D6"/>
    <w:rsid w:val="00C45CB4"/>
    <w:rsid w:val="00C501E5"/>
    <w:rsid w:val="00C52062"/>
    <w:rsid w:val="00C52EBF"/>
    <w:rsid w:val="00C57FAE"/>
    <w:rsid w:val="00C626A3"/>
    <w:rsid w:val="00C62AF6"/>
    <w:rsid w:val="00C62EDC"/>
    <w:rsid w:val="00C70AA4"/>
    <w:rsid w:val="00C76B4D"/>
    <w:rsid w:val="00C8047E"/>
    <w:rsid w:val="00C80705"/>
    <w:rsid w:val="00C8076F"/>
    <w:rsid w:val="00C808A2"/>
    <w:rsid w:val="00C80B8D"/>
    <w:rsid w:val="00C812AF"/>
    <w:rsid w:val="00C81E69"/>
    <w:rsid w:val="00C82B6E"/>
    <w:rsid w:val="00C85EF4"/>
    <w:rsid w:val="00C91319"/>
    <w:rsid w:val="00C9327B"/>
    <w:rsid w:val="00C93FD9"/>
    <w:rsid w:val="00C9454F"/>
    <w:rsid w:val="00C95F40"/>
    <w:rsid w:val="00C96762"/>
    <w:rsid w:val="00CA2E5D"/>
    <w:rsid w:val="00CA443F"/>
    <w:rsid w:val="00CA5473"/>
    <w:rsid w:val="00CA6BB3"/>
    <w:rsid w:val="00CB00A7"/>
    <w:rsid w:val="00CB0B3B"/>
    <w:rsid w:val="00CB0BEB"/>
    <w:rsid w:val="00CB2A3D"/>
    <w:rsid w:val="00CB4820"/>
    <w:rsid w:val="00CB4E1B"/>
    <w:rsid w:val="00CB5B6F"/>
    <w:rsid w:val="00CB7C63"/>
    <w:rsid w:val="00CC38C0"/>
    <w:rsid w:val="00CC5410"/>
    <w:rsid w:val="00CC5BA5"/>
    <w:rsid w:val="00CC63E8"/>
    <w:rsid w:val="00CD1006"/>
    <w:rsid w:val="00CD4476"/>
    <w:rsid w:val="00CD774E"/>
    <w:rsid w:val="00CE05E0"/>
    <w:rsid w:val="00CE1835"/>
    <w:rsid w:val="00CF2A93"/>
    <w:rsid w:val="00CF41F0"/>
    <w:rsid w:val="00D052DB"/>
    <w:rsid w:val="00D06160"/>
    <w:rsid w:val="00D06F8D"/>
    <w:rsid w:val="00D074BF"/>
    <w:rsid w:val="00D110D5"/>
    <w:rsid w:val="00D11214"/>
    <w:rsid w:val="00D14FE6"/>
    <w:rsid w:val="00D15323"/>
    <w:rsid w:val="00D15371"/>
    <w:rsid w:val="00D21561"/>
    <w:rsid w:val="00D22DD6"/>
    <w:rsid w:val="00D2534F"/>
    <w:rsid w:val="00D2674D"/>
    <w:rsid w:val="00D302B9"/>
    <w:rsid w:val="00D30B5F"/>
    <w:rsid w:val="00D31FAF"/>
    <w:rsid w:val="00D40B1D"/>
    <w:rsid w:val="00D431C4"/>
    <w:rsid w:val="00D46E52"/>
    <w:rsid w:val="00D62944"/>
    <w:rsid w:val="00D63A5B"/>
    <w:rsid w:val="00D66D62"/>
    <w:rsid w:val="00D67F8C"/>
    <w:rsid w:val="00D702CF"/>
    <w:rsid w:val="00D71138"/>
    <w:rsid w:val="00D71179"/>
    <w:rsid w:val="00D719C6"/>
    <w:rsid w:val="00D75745"/>
    <w:rsid w:val="00D8104E"/>
    <w:rsid w:val="00D82568"/>
    <w:rsid w:val="00D82E17"/>
    <w:rsid w:val="00D85D06"/>
    <w:rsid w:val="00D874B8"/>
    <w:rsid w:val="00D92ECE"/>
    <w:rsid w:val="00DA0780"/>
    <w:rsid w:val="00DA12D4"/>
    <w:rsid w:val="00DA3B2F"/>
    <w:rsid w:val="00DA6054"/>
    <w:rsid w:val="00DB0B7E"/>
    <w:rsid w:val="00DB51C0"/>
    <w:rsid w:val="00DC0064"/>
    <w:rsid w:val="00DC014F"/>
    <w:rsid w:val="00DC0225"/>
    <w:rsid w:val="00DC07B0"/>
    <w:rsid w:val="00DC4989"/>
    <w:rsid w:val="00DC5B72"/>
    <w:rsid w:val="00DC6B16"/>
    <w:rsid w:val="00DC737C"/>
    <w:rsid w:val="00DD01B2"/>
    <w:rsid w:val="00DD40F3"/>
    <w:rsid w:val="00DD5102"/>
    <w:rsid w:val="00DE0139"/>
    <w:rsid w:val="00DE2278"/>
    <w:rsid w:val="00DE3306"/>
    <w:rsid w:val="00DE6058"/>
    <w:rsid w:val="00DE7198"/>
    <w:rsid w:val="00DF0A99"/>
    <w:rsid w:val="00DF1EEC"/>
    <w:rsid w:val="00DF76FA"/>
    <w:rsid w:val="00E0647F"/>
    <w:rsid w:val="00E07169"/>
    <w:rsid w:val="00E10E71"/>
    <w:rsid w:val="00E13327"/>
    <w:rsid w:val="00E22856"/>
    <w:rsid w:val="00E27D57"/>
    <w:rsid w:val="00E30766"/>
    <w:rsid w:val="00E32D62"/>
    <w:rsid w:val="00E349AC"/>
    <w:rsid w:val="00E369F7"/>
    <w:rsid w:val="00E36A4E"/>
    <w:rsid w:val="00E42307"/>
    <w:rsid w:val="00E451C1"/>
    <w:rsid w:val="00E46DD4"/>
    <w:rsid w:val="00E50A9B"/>
    <w:rsid w:val="00E51A47"/>
    <w:rsid w:val="00E521CD"/>
    <w:rsid w:val="00E60D04"/>
    <w:rsid w:val="00E61B2F"/>
    <w:rsid w:val="00E64628"/>
    <w:rsid w:val="00E673CF"/>
    <w:rsid w:val="00E706CF"/>
    <w:rsid w:val="00E70F39"/>
    <w:rsid w:val="00E72E82"/>
    <w:rsid w:val="00E759BD"/>
    <w:rsid w:val="00E7683C"/>
    <w:rsid w:val="00E841FF"/>
    <w:rsid w:val="00E91A44"/>
    <w:rsid w:val="00E97C6A"/>
    <w:rsid w:val="00EA042C"/>
    <w:rsid w:val="00EA1DEC"/>
    <w:rsid w:val="00EA23E5"/>
    <w:rsid w:val="00EB2BF0"/>
    <w:rsid w:val="00EB4BC2"/>
    <w:rsid w:val="00EB56F0"/>
    <w:rsid w:val="00EB6163"/>
    <w:rsid w:val="00EB62BE"/>
    <w:rsid w:val="00EC0A10"/>
    <w:rsid w:val="00EC0B9F"/>
    <w:rsid w:val="00EC3BE1"/>
    <w:rsid w:val="00EC4B2D"/>
    <w:rsid w:val="00EC50D1"/>
    <w:rsid w:val="00EC72EE"/>
    <w:rsid w:val="00ED02A1"/>
    <w:rsid w:val="00ED755F"/>
    <w:rsid w:val="00EE090C"/>
    <w:rsid w:val="00EE21F6"/>
    <w:rsid w:val="00EE5402"/>
    <w:rsid w:val="00EE5F75"/>
    <w:rsid w:val="00EE6276"/>
    <w:rsid w:val="00EF1628"/>
    <w:rsid w:val="00EF4DF3"/>
    <w:rsid w:val="00F0500A"/>
    <w:rsid w:val="00F05059"/>
    <w:rsid w:val="00F05559"/>
    <w:rsid w:val="00F059B0"/>
    <w:rsid w:val="00F10044"/>
    <w:rsid w:val="00F101E7"/>
    <w:rsid w:val="00F13DD2"/>
    <w:rsid w:val="00F14EFD"/>
    <w:rsid w:val="00F15D42"/>
    <w:rsid w:val="00F1797A"/>
    <w:rsid w:val="00F2204E"/>
    <w:rsid w:val="00F247E9"/>
    <w:rsid w:val="00F3402C"/>
    <w:rsid w:val="00F367BF"/>
    <w:rsid w:val="00F417A2"/>
    <w:rsid w:val="00F44D17"/>
    <w:rsid w:val="00F50CC4"/>
    <w:rsid w:val="00F527CF"/>
    <w:rsid w:val="00F539C1"/>
    <w:rsid w:val="00F55A36"/>
    <w:rsid w:val="00F61222"/>
    <w:rsid w:val="00F645EA"/>
    <w:rsid w:val="00F656B7"/>
    <w:rsid w:val="00F656E8"/>
    <w:rsid w:val="00F6774A"/>
    <w:rsid w:val="00F67A9F"/>
    <w:rsid w:val="00F67C18"/>
    <w:rsid w:val="00F71857"/>
    <w:rsid w:val="00F75C82"/>
    <w:rsid w:val="00F77170"/>
    <w:rsid w:val="00F826AB"/>
    <w:rsid w:val="00F84F05"/>
    <w:rsid w:val="00F87655"/>
    <w:rsid w:val="00F9529A"/>
    <w:rsid w:val="00FB252C"/>
    <w:rsid w:val="00FB29DF"/>
    <w:rsid w:val="00FB31D1"/>
    <w:rsid w:val="00FB6379"/>
    <w:rsid w:val="00FB6D58"/>
    <w:rsid w:val="00FB6DA9"/>
    <w:rsid w:val="00FB7C04"/>
    <w:rsid w:val="00FC0C86"/>
    <w:rsid w:val="00FC15A5"/>
    <w:rsid w:val="00FC2397"/>
    <w:rsid w:val="00FC3677"/>
    <w:rsid w:val="00FC4633"/>
    <w:rsid w:val="00FC57E7"/>
    <w:rsid w:val="00FC5B5F"/>
    <w:rsid w:val="00FC6F6A"/>
    <w:rsid w:val="00FC7A15"/>
    <w:rsid w:val="00FC7BBB"/>
    <w:rsid w:val="00FD0BAE"/>
    <w:rsid w:val="00FD3891"/>
    <w:rsid w:val="00FD43AA"/>
    <w:rsid w:val="00FD7F7E"/>
    <w:rsid w:val="00FE467E"/>
    <w:rsid w:val="00FE5389"/>
    <w:rsid w:val="00FF4694"/>
    <w:rsid w:val="00FF5C0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5:docId w15:val="{DA35777A-FD33-459E-904F-B21EE7BB9F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22856"/>
    <w:rPr>
      <w:sz w:val="24"/>
      <w:szCs w:val="24"/>
    </w:rPr>
  </w:style>
  <w:style w:type="paragraph" w:styleId="Heading1">
    <w:name w:val="heading 1"/>
    <w:basedOn w:val="Normal"/>
    <w:next w:val="Normal"/>
    <w:qFormat/>
    <w:rsid w:val="007774B2"/>
    <w:pPr>
      <w:keepNext/>
      <w:spacing w:before="240" w:after="60"/>
      <w:outlineLvl w:val="0"/>
    </w:pPr>
    <w:rPr>
      <w:rFonts w:ascii="Arial" w:hAnsi="Arial" w:cs="Arial"/>
      <w:b/>
      <w:bCs/>
      <w:kern w:val="32"/>
      <w:sz w:val="32"/>
      <w:szCs w:val="32"/>
    </w:rPr>
  </w:style>
  <w:style w:type="paragraph" w:styleId="Heading3">
    <w:name w:val="heading 3"/>
    <w:basedOn w:val="Normal"/>
    <w:next w:val="Normal"/>
    <w:link w:val="Heading3Char"/>
    <w:qFormat/>
    <w:rsid w:val="007774B2"/>
    <w:pPr>
      <w:keepNext/>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C44E2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rsid w:val="007774B2"/>
    <w:pPr>
      <w:tabs>
        <w:tab w:val="center" w:pos="4320"/>
        <w:tab w:val="right" w:pos="8640"/>
      </w:tabs>
    </w:pPr>
  </w:style>
  <w:style w:type="paragraph" w:styleId="Footer">
    <w:name w:val="footer"/>
    <w:basedOn w:val="Normal"/>
    <w:link w:val="FooterChar"/>
    <w:uiPriority w:val="99"/>
    <w:rsid w:val="007774B2"/>
    <w:pPr>
      <w:tabs>
        <w:tab w:val="center" w:pos="4320"/>
        <w:tab w:val="right" w:pos="8640"/>
      </w:tabs>
    </w:pPr>
  </w:style>
  <w:style w:type="character" w:styleId="PageNumber">
    <w:name w:val="page number"/>
    <w:basedOn w:val="DefaultParagraphFont"/>
    <w:rsid w:val="007774B2"/>
  </w:style>
  <w:style w:type="character" w:customStyle="1" w:styleId="Heading3Char">
    <w:name w:val="Heading 3 Char"/>
    <w:link w:val="Heading3"/>
    <w:rsid w:val="00063DD0"/>
    <w:rPr>
      <w:rFonts w:ascii="Arial" w:hAnsi="Arial" w:cs="Arial"/>
      <w:b/>
      <w:bCs/>
      <w:sz w:val="26"/>
      <w:szCs w:val="26"/>
      <w:lang w:val="en-US" w:eastAsia="en-US" w:bidi="ar-SA"/>
    </w:rPr>
  </w:style>
  <w:style w:type="character" w:customStyle="1" w:styleId="FooterChar">
    <w:name w:val="Footer Char"/>
    <w:link w:val="Footer"/>
    <w:uiPriority w:val="99"/>
    <w:rsid w:val="00450818"/>
    <w:rPr>
      <w:sz w:val="24"/>
      <w:szCs w:val="24"/>
    </w:rPr>
  </w:style>
  <w:style w:type="paragraph" w:styleId="BalloonText">
    <w:name w:val="Balloon Text"/>
    <w:basedOn w:val="Normal"/>
    <w:semiHidden/>
    <w:rsid w:val="00C52062"/>
    <w:rPr>
      <w:rFonts w:ascii="Tahoma" w:hAnsi="Tahoma" w:cs="Tahoma"/>
      <w:sz w:val="16"/>
      <w:szCs w:val="16"/>
    </w:rPr>
  </w:style>
  <w:style w:type="character" w:customStyle="1" w:styleId="CharChar1">
    <w:name w:val="Char Char1"/>
    <w:locked/>
    <w:rsid w:val="008163E0"/>
    <w:rPr>
      <w:rFonts w:ascii="Arial" w:hAnsi="Arial" w:cs="Arial"/>
      <w:b/>
      <w:bCs/>
      <w:sz w:val="26"/>
      <w:szCs w:val="26"/>
      <w:lang w:val="en-US" w:eastAsia="en-US" w:bidi="ar-SA"/>
    </w:rPr>
  </w:style>
  <w:style w:type="character" w:styleId="Hyperlink">
    <w:name w:val="Hyperlink"/>
    <w:rsid w:val="00252411"/>
    <w:rPr>
      <w:color w:val="0000FF"/>
      <w:u w:val="single"/>
    </w:rPr>
  </w:style>
  <w:style w:type="paragraph" w:styleId="ListParagraph">
    <w:name w:val="List Paragraph"/>
    <w:basedOn w:val="Normal"/>
    <w:uiPriority w:val="34"/>
    <w:qFormat/>
    <w:rsid w:val="00D63A5B"/>
    <w:pPr>
      <w:ind w:left="720"/>
      <w:contextualSpacing/>
    </w:pPr>
  </w:style>
  <w:style w:type="character" w:styleId="FollowedHyperlink">
    <w:name w:val="FollowedHyperlink"/>
    <w:basedOn w:val="DefaultParagraphFont"/>
    <w:rsid w:val="00652336"/>
    <w:rPr>
      <w:color w:val="800080" w:themeColor="followedHyperlink"/>
      <w:u w:val="single"/>
    </w:rPr>
  </w:style>
  <w:style w:type="paragraph" w:styleId="BodyText">
    <w:name w:val="Body Text"/>
    <w:basedOn w:val="Normal"/>
    <w:link w:val="BodyTextChar"/>
    <w:rsid w:val="000C0938"/>
    <w:pPr>
      <w:spacing w:after="120"/>
      <w:jc w:val="both"/>
    </w:pPr>
    <w:rPr>
      <w:rFonts w:ascii="Arial" w:hAnsi="Arial"/>
      <w:szCs w:val="20"/>
    </w:rPr>
  </w:style>
  <w:style w:type="character" w:customStyle="1" w:styleId="BodyTextChar">
    <w:name w:val="Body Text Char"/>
    <w:basedOn w:val="DefaultParagraphFont"/>
    <w:link w:val="BodyText"/>
    <w:rsid w:val="000C0938"/>
    <w:rPr>
      <w:rFonts w:ascii="Arial" w:hAnsi="Arial"/>
      <w:sz w:val="24"/>
    </w:rPr>
  </w:style>
  <w:style w:type="paragraph" w:styleId="NormalWeb">
    <w:name w:val="Normal (Web)"/>
    <w:basedOn w:val="Normal"/>
    <w:uiPriority w:val="99"/>
    <w:unhideWhenUsed/>
    <w:rsid w:val="00474E2A"/>
    <w:pPr>
      <w:spacing w:before="100" w:beforeAutospacing="1" w:after="100" w:afterAutospacing="1"/>
    </w:pPr>
  </w:style>
  <w:style w:type="character" w:customStyle="1" w:styleId="subject1">
    <w:name w:val="subject1"/>
    <w:basedOn w:val="DefaultParagraphFont"/>
    <w:rsid w:val="00474E2A"/>
    <w:rPr>
      <w:b/>
      <w:bCs/>
      <w:vanish w:val="0"/>
      <w:webHidden w:val="0"/>
      <w:specVanish w:val="0"/>
    </w:rPr>
  </w:style>
  <w:style w:type="character" w:customStyle="1" w:styleId="section1">
    <w:name w:val="section1"/>
    <w:basedOn w:val="DefaultParagraphFont"/>
    <w:rsid w:val="00474E2A"/>
  </w:style>
  <w:style w:type="character" w:customStyle="1" w:styleId="sectno1">
    <w:name w:val="sectno1"/>
    <w:basedOn w:val="DefaultParagraphFont"/>
    <w:rsid w:val="00474E2A"/>
    <w:rPr>
      <w:b/>
      <w:bCs/>
      <w:vanish w:val="0"/>
      <w:webHidden w:val="0"/>
      <w:specVanish w:val="0"/>
    </w:rPr>
  </w:style>
  <w:style w:type="character" w:customStyle="1" w:styleId="p1">
    <w:name w:val="p1"/>
    <w:basedOn w:val="DefaultParagraphFont"/>
    <w:rsid w:val="00474E2A"/>
    <w:rPr>
      <w:vanish w:val="0"/>
      <w:webHidden w:val="0"/>
      <w:specVanish w:val="0"/>
    </w:rPr>
  </w:style>
  <w:style w:type="character" w:customStyle="1" w:styleId="e-031">
    <w:name w:val="e-031"/>
    <w:basedOn w:val="DefaultParagraphFont"/>
    <w:rsid w:val="00474E2A"/>
    <w:rPr>
      <w:i/>
      <w:iCs/>
    </w:rPr>
  </w:style>
  <w:style w:type="paragraph" w:styleId="Revision">
    <w:name w:val="Revision"/>
    <w:hidden/>
    <w:uiPriority w:val="99"/>
    <w:semiHidden/>
    <w:rsid w:val="00B314C7"/>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62964885">
      <w:bodyDiv w:val="1"/>
      <w:marLeft w:val="0"/>
      <w:marRight w:val="0"/>
      <w:marTop w:val="0"/>
      <w:marBottom w:val="0"/>
      <w:divBdr>
        <w:top w:val="none" w:sz="0" w:space="0" w:color="auto"/>
        <w:left w:val="none" w:sz="0" w:space="0" w:color="auto"/>
        <w:bottom w:val="none" w:sz="0" w:space="0" w:color="auto"/>
        <w:right w:val="none" w:sz="0" w:space="0" w:color="auto"/>
      </w:divBdr>
    </w:div>
    <w:div w:id="493224968">
      <w:bodyDiv w:val="1"/>
      <w:marLeft w:val="0"/>
      <w:marRight w:val="0"/>
      <w:marTop w:val="0"/>
      <w:marBottom w:val="0"/>
      <w:divBdr>
        <w:top w:val="none" w:sz="0" w:space="0" w:color="auto"/>
        <w:left w:val="none" w:sz="0" w:space="0" w:color="auto"/>
        <w:bottom w:val="none" w:sz="0" w:space="0" w:color="auto"/>
        <w:right w:val="none" w:sz="0" w:space="0" w:color="auto"/>
      </w:divBdr>
    </w:div>
    <w:div w:id="507796160">
      <w:bodyDiv w:val="1"/>
      <w:marLeft w:val="0"/>
      <w:marRight w:val="0"/>
      <w:marTop w:val="0"/>
      <w:marBottom w:val="0"/>
      <w:divBdr>
        <w:top w:val="none" w:sz="0" w:space="0" w:color="auto"/>
        <w:left w:val="none" w:sz="0" w:space="0" w:color="auto"/>
        <w:bottom w:val="none" w:sz="0" w:space="0" w:color="auto"/>
        <w:right w:val="none" w:sz="0" w:space="0" w:color="auto"/>
      </w:divBdr>
    </w:div>
    <w:div w:id="1017193504">
      <w:bodyDiv w:val="1"/>
      <w:marLeft w:val="0"/>
      <w:marRight w:val="0"/>
      <w:marTop w:val="0"/>
      <w:marBottom w:val="0"/>
      <w:divBdr>
        <w:top w:val="none" w:sz="0" w:space="0" w:color="auto"/>
        <w:left w:val="none" w:sz="0" w:space="0" w:color="auto"/>
        <w:bottom w:val="none" w:sz="0" w:space="0" w:color="auto"/>
        <w:right w:val="none" w:sz="0" w:space="0" w:color="auto"/>
      </w:divBdr>
    </w:div>
    <w:div w:id="1702244523">
      <w:bodyDiv w:val="1"/>
      <w:marLeft w:val="0"/>
      <w:marRight w:val="0"/>
      <w:marTop w:val="0"/>
      <w:marBottom w:val="0"/>
      <w:divBdr>
        <w:top w:val="none" w:sz="0" w:space="0" w:color="auto"/>
        <w:left w:val="none" w:sz="0" w:space="0" w:color="auto"/>
        <w:bottom w:val="none" w:sz="0" w:space="0" w:color="auto"/>
        <w:right w:val="none" w:sz="0" w:space="0" w:color="auto"/>
      </w:divBdr>
    </w:div>
    <w:div w:id="1889755827">
      <w:bodyDiv w:val="1"/>
      <w:marLeft w:val="0"/>
      <w:marRight w:val="0"/>
      <w:marTop w:val="0"/>
      <w:marBottom w:val="0"/>
      <w:divBdr>
        <w:top w:val="none" w:sz="0" w:space="0" w:color="auto"/>
        <w:left w:val="none" w:sz="0" w:space="0" w:color="auto"/>
        <w:bottom w:val="none" w:sz="0" w:space="0" w:color="auto"/>
        <w:right w:val="none" w:sz="0" w:space="0" w:color="auto"/>
      </w:divBdr>
    </w:div>
    <w:div w:id="20417389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ttpedge.sitenv.org/ttp/" TargetMode="External"/><Relationship Id="rId13" Type="http://schemas.openxmlformats.org/officeDocument/2006/relationships/hyperlink" Target="http://www.hl7.org/implement/standards/product_brief.cfm?product_id=374" TargetMode="External"/><Relationship Id="rId18" Type="http://schemas.openxmlformats.org/officeDocument/2006/relationships/header" Target="header2.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www.nlm.nih.gov/healthit/snomedct/us_edition.html"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mailto:ehr@drummondgroup.com" TargetMode="Externa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hl7.org/implement/standards/product_brief.cfm?product_id=379" TargetMode="External"/><Relationship Id="rId5" Type="http://schemas.openxmlformats.org/officeDocument/2006/relationships/webSettings" Target="webSettings.xml"/><Relationship Id="rId15" Type="http://schemas.openxmlformats.org/officeDocument/2006/relationships/hyperlink" Target="http://www.drummondgroup.com" TargetMode="External"/><Relationship Id="rId10" Type="http://schemas.openxmlformats.org/officeDocument/2006/relationships/hyperlink" Target="http://www.hl7.org/implement/standards/product_brief.cfm?product_id=258"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ttpedge.sitenv.org/ttp/" TargetMode="External"/><Relationship Id="rId14" Type="http://schemas.openxmlformats.org/officeDocument/2006/relationships/hyperlink" Target="https://www.healthit.gov/sites/default/files/2015Ed_CCG_CCDS.pdf" TargetMode="External"/><Relationship Id="rId22"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028A055-927E-40A2-9469-56E012B75B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21</Pages>
  <Words>4176</Words>
  <Characters>23805</Characters>
  <Application>Microsoft Office Word</Application>
  <DocSecurity>0</DocSecurity>
  <Lines>198</Lines>
  <Paragraphs>55</Paragraphs>
  <ScaleCrop>false</ScaleCrop>
  <HeadingPairs>
    <vt:vector size="2" baseType="variant">
      <vt:variant>
        <vt:lpstr>Title</vt:lpstr>
      </vt:variant>
      <vt:variant>
        <vt:i4>1</vt:i4>
      </vt:variant>
    </vt:vector>
  </HeadingPairs>
  <TitlesOfParts>
    <vt:vector size="1" baseType="lpstr">
      <vt:lpstr>Test Criteria: 170</vt:lpstr>
    </vt:vector>
  </TitlesOfParts>
  <Company>Drummond Group</Company>
  <LinksUpToDate>false</LinksUpToDate>
  <CharactersWithSpaces>27926</CharactersWithSpaces>
  <SharedDoc>false</SharedDoc>
  <HLinks>
    <vt:vector size="12" baseType="variant">
      <vt:variant>
        <vt:i4>7274497</vt:i4>
      </vt:variant>
      <vt:variant>
        <vt:i4>3</vt:i4>
      </vt:variant>
      <vt:variant>
        <vt:i4>0</vt:i4>
      </vt:variant>
      <vt:variant>
        <vt:i4>5</vt:i4>
      </vt:variant>
      <vt:variant>
        <vt:lpwstr>http://www.whitehouse.gov/omb/fedreg_1997standards</vt:lpwstr>
      </vt:variant>
      <vt:variant>
        <vt:lpwstr/>
      </vt:variant>
      <vt:variant>
        <vt:i4>7274497</vt:i4>
      </vt:variant>
      <vt:variant>
        <vt:i4>0</vt:i4>
      </vt:variant>
      <vt:variant>
        <vt:i4>0</vt:i4>
      </vt:variant>
      <vt:variant>
        <vt:i4>5</vt:i4>
      </vt:variant>
      <vt:variant>
        <vt:lpwstr>http://www.whitehouse.gov/omb/fedreg_1997standards</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Test Criteria: 170</dc:title>
  <dc:subject/>
  <dc:creator>Kyle Meadors - DGI</dc:creator>
  <cp:keywords/>
  <dc:description/>
  <cp:lastModifiedBy>Sonia Galvan</cp:lastModifiedBy>
  <cp:revision>5</cp:revision>
  <dcterms:created xsi:type="dcterms:W3CDTF">2016-08-20T17:43:00Z</dcterms:created>
  <dcterms:modified xsi:type="dcterms:W3CDTF">2016-09-30T14:39:00Z</dcterms:modified>
</cp:coreProperties>
</file>