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3C" w:rsidRDefault="00362E3C" w:rsidP="00362E3C">
      <w:pPr>
        <w:pStyle w:val="Heading1"/>
      </w:pPr>
      <w:r w:rsidRPr="00BD2A8D">
        <w:t xml:space="preserve">Test Criteria: </w:t>
      </w:r>
      <w:r w:rsidR="00B51252">
        <w:t xml:space="preserve"> </w:t>
      </w:r>
      <w:r w:rsidR="003E72FF" w:rsidRPr="00BD2A8D">
        <w:t>170.315.a.</w:t>
      </w:r>
      <w:r w:rsidR="008730F6">
        <w:t>13</w:t>
      </w:r>
      <w:r w:rsidR="007B5D79">
        <w:t xml:space="preserve"> – </w:t>
      </w:r>
      <w:r w:rsidR="008730F6">
        <w:t>Patient-specific Education Resources</w:t>
      </w:r>
    </w:p>
    <w:p w:rsidR="00FD7F7E" w:rsidRDefault="00FD7F7E" w:rsidP="00FD7F7E"/>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5F42C0" w:rsidTr="00DC0225">
        <w:trPr>
          <w:trHeight w:val="331"/>
        </w:trPr>
        <w:tc>
          <w:tcPr>
            <w:tcW w:w="4045" w:type="dxa"/>
            <w:shd w:val="clear" w:color="auto" w:fill="FFFFFF" w:themeFill="background1"/>
          </w:tcPr>
          <w:p w:rsidR="005F42C0" w:rsidRPr="00DC0225" w:rsidRDefault="005F42C0" w:rsidP="005F42C0">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5F42C0" w:rsidRPr="00DC0225" w:rsidRDefault="005F42C0" w:rsidP="005F42C0">
            <w:pPr>
              <w:rPr>
                <w:rFonts w:ascii="Leelawadee UI" w:hAnsi="Leelawadee UI" w:cs="Leelawadee UI"/>
              </w:rPr>
            </w:pPr>
          </w:p>
        </w:tc>
      </w:tr>
      <w:tr w:rsidR="005F42C0" w:rsidTr="00DC0225">
        <w:trPr>
          <w:trHeight w:val="331"/>
        </w:trPr>
        <w:tc>
          <w:tcPr>
            <w:tcW w:w="4045" w:type="dxa"/>
            <w:shd w:val="clear" w:color="auto" w:fill="FFFFFF" w:themeFill="background1"/>
          </w:tcPr>
          <w:p w:rsidR="005F42C0" w:rsidRPr="00DC0225" w:rsidRDefault="005F42C0" w:rsidP="005F42C0">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5F42C0" w:rsidRPr="00DC0225" w:rsidRDefault="005F42C0" w:rsidP="005F42C0">
            <w:pPr>
              <w:rPr>
                <w:rFonts w:ascii="Leelawadee UI" w:hAnsi="Leelawadee UI" w:cs="Leelawadee UI"/>
              </w:rPr>
            </w:pPr>
          </w:p>
        </w:tc>
      </w:tr>
      <w:tr w:rsidR="005F42C0" w:rsidTr="00DC0225">
        <w:trPr>
          <w:trHeight w:val="331"/>
        </w:trPr>
        <w:tc>
          <w:tcPr>
            <w:tcW w:w="4045" w:type="dxa"/>
            <w:shd w:val="clear" w:color="auto" w:fill="FFFFFF" w:themeFill="background1"/>
          </w:tcPr>
          <w:p w:rsidR="005F42C0" w:rsidRPr="00DC0225" w:rsidRDefault="005F42C0" w:rsidP="005F42C0">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5F42C0" w:rsidRPr="00DC0225" w:rsidRDefault="005F42C0" w:rsidP="005F42C0">
            <w:pPr>
              <w:rPr>
                <w:rFonts w:ascii="Leelawadee UI" w:hAnsi="Leelawadee UI" w:cs="Leelawadee UI"/>
              </w:rPr>
            </w:pPr>
          </w:p>
        </w:tc>
      </w:tr>
      <w:tr w:rsidR="005F42C0" w:rsidTr="00DC0225">
        <w:trPr>
          <w:trHeight w:val="331"/>
        </w:trPr>
        <w:tc>
          <w:tcPr>
            <w:tcW w:w="4045" w:type="dxa"/>
            <w:shd w:val="clear" w:color="auto" w:fill="FFFFFF" w:themeFill="background1"/>
          </w:tcPr>
          <w:p w:rsidR="005F42C0" w:rsidRPr="00DC0225" w:rsidRDefault="005F42C0" w:rsidP="005F42C0">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5F42C0" w:rsidRPr="00DC0225" w:rsidRDefault="005F42C0" w:rsidP="005F42C0">
            <w:pPr>
              <w:rPr>
                <w:rFonts w:ascii="Leelawadee UI" w:hAnsi="Leelawadee UI" w:cs="Leelawadee UI"/>
              </w:rPr>
            </w:pPr>
          </w:p>
        </w:tc>
      </w:tr>
      <w:tr w:rsidR="005F42C0" w:rsidTr="00DC0225">
        <w:trPr>
          <w:trHeight w:val="350"/>
        </w:trPr>
        <w:tc>
          <w:tcPr>
            <w:tcW w:w="4045" w:type="dxa"/>
            <w:shd w:val="clear" w:color="auto" w:fill="FFFFFF" w:themeFill="background1"/>
          </w:tcPr>
          <w:p w:rsidR="005F42C0" w:rsidRPr="00DC0225" w:rsidRDefault="005F42C0" w:rsidP="005F42C0">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5F42C0" w:rsidRPr="00DC0225" w:rsidRDefault="005F42C0" w:rsidP="005F42C0">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5F42C0" w:rsidTr="00DC0225">
        <w:trPr>
          <w:trHeight w:val="350"/>
        </w:trPr>
        <w:tc>
          <w:tcPr>
            <w:tcW w:w="4045" w:type="dxa"/>
            <w:shd w:val="clear" w:color="auto" w:fill="FFFFFF" w:themeFill="background1"/>
          </w:tcPr>
          <w:p w:rsidR="005F42C0" w:rsidRPr="00DC0225" w:rsidRDefault="005F42C0" w:rsidP="005F42C0">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5F42C0" w:rsidRPr="00DC0225" w:rsidRDefault="005F42C0" w:rsidP="005F42C0">
            <w:pPr>
              <w:rPr>
                <w:rFonts w:ascii="Leelawadee UI" w:hAnsi="Leelawadee UI" w:cs="Leelawadee UI"/>
              </w:rPr>
            </w:pPr>
          </w:p>
        </w:tc>
      </w:tr>
      <w:tr w:rsidR="005F42C0" w:rsidTr="00DC0225">
        <w:trPr>
          <w:trHeight w:val="350"/>
        </w:trPr>
        <w:tc>
          <w:tcPr>
            <w:tcW w:w="4045" w:type="dxa"/>
            <w:shd w:val="clear" w:color="auto" w:fill="FFFFFF" w:themeFill="background1"/>
          </w:tcPr>
          <w:p w:rsidR="005F42C0" w:rsidRPr="00DC0225" w:rsidRDefault="005F42C0" w:rsidP="005F42C0">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5F42C0" w:rsidRPr="00DC0225" w:rsidRDefault="005F42C0" w:rsidP="005F42C0">
            <w:pPr>
              <w:rPr>
                <w:rFonts w:ascii="Leelawadee UI" w:hAnsi="Leelawadee UI" w:cs="Leelawadee UI"/>
              </w:rPr>
            </w:pPr>
          </w:p>
        </w:tc>
      </w:tr>
      <w:tr w:rsidR="005F42C0" w:rsidTr="00DC0225">
        <w:trPr>
          <w:trHeight w:val="350"/>
        </w:trPr>
        <w:tc>
          <w:tcPr>
            <w:tcW w:w="4045" w:type="dxa"/>
            <w:shd w:val="clear" w:color="auto" w:fill="FFFFFF" w:themeFill="background1"/>
          </w:tcPr>
          <w:p w:rsidR="005F42C0" w:rsidRPr="00DC0225" w:rsidRDefault="005F42C0" w:rsidP="005F42C0">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5F42C0" w:rsidRPr="00DC0225" w:rsidRDefault="005F42C0" w:rsidP="005F42C0">
            <w:pPr>
              <w:rPr>
                <w:rFonts w:ascii="Leelawadee UI" w:hAnsi="Leelawadee UI" w:cs="Leelawadee UI"/>
              </w:rPr>
            </w:pPr>
          </w:p>
        </w:tc>
      </w:tr>
      <w:tr w:rsidR="005F42C0" w:rsidTr="00DC0225">
        <w:trPr>
          <w:trHeight w:val="313"/>
        </w:trPr>
        <w:tc>
          <w:tcPr>
            <w:tcW w:w="4045" w:type="dxa"/>
            <w:shd w:val="clear" w:color="auto" w:fill="FFFFFF" w:themeFill="background1"/>
          </w:tcPr>
          <w:p w:rsidR="005F42C0" w:rsidRPr="00DC0225" w:rsidRDefault="005F42C0" w:rsidP="005F42C0">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5F42C0" w:rsidRPr="00DC0225" w:rsidRDefault="005F42C0" w:rsidP="005F42C0">
            <w:pPr>
              <w:rPr>
                <w:rFonts w:ascii="Leelawadee UI" w:hAnsi="Leelawadee UI" w:cs="Leelawadee UI"/>
              </w:rPr>
            </w:pPr>
          </w:p>
        </w:tc>
      </w:tr>
    </w:tbl>
    <w:p w:rsidR="00FD7F7E" w:rsidRDefault="00FD7F7E" w:rsidP="00FD7F7E"/>
    <w:p w:rsidR="00626E3C" w:rsidRDefault="00626E3C" w:rsidP="00626E3C">
      <w:pPr>
        <w:pStyle w:val="Heading3"/>
      </w:pPr>
      <w:bookmarkStart w:id="0" w:name="_Toc432066403"/>
      <w:r>
        <w:t>Overview</w:t>
      </w:r>
    </w:p>
    <w:p w:rsidR="00626E3C" w:rsidRDefault="00626E3C" w:rsidP="00626E3C">
      <w:r>
        <w:t>In this document you will find:</w:t>
      </w:r>
    </w:p>
    <w:p w:rsidR="00626E3C" w:rsidRDefault="00B803C9" w:rsidP="00626E3C">
      <w:pPr>
        <w:pStyle w:val="ListParagraph"/>
        <w:numPr>
          <w:ilvl w:val="0"/>
          <w:numId w:val="39"/>
        </w:numPr>
      </w:pPr>
      <w:hyperlink w:anchor="_Test_Data_and" w:history="1">
        <w:r w:rsidR="00626E3C">
          <w:rPr>
            <w:rStyle w:val="Hyperlink"/>
          </w:rPr>
          <w:t>Test Data and Test Tools</w:t>
        </w:r>
      </w:hyperlink>
    </w:p>
    <w:p w:rsidR="00626E3C" w:rsidRDefault="00B803C9" w:rsidP="00626E3C">
      <w:pPr>
        <w:pStyle w:val="ListParagraph"/>
        <w:numPr>
          <w:ilvl w:val="0"/>
          <w:numId w:val="39"/>
        </w:numPr>
      </w:pPr>
      <w:hyperlink w:anchor="_Demonstrate_Standards_Support" w:history="1">
        <w:r w:rsidR="00626E3C">
          <w:rPr>
            <w:rStyle w:val="Hyperlink"/>
          </w:rPr>
          <w:t>Standards Support</w:t>
        </w:r>
      </w:hyperlink>
    </w:p>
    <w:p w:rsidR="00626E3C" w:rsidRDefault="00B803C9" w:rsidP="00626E3C">
      <w:pPr>
        <w:pStyle w:val="ListParagraph"/>
        <w:numPr>
          <w:ilvl w:val="0"/>
          <w:numId w:val="39"/>
        </w:numPr>
      </w:pPr>
      <w:hyperlink w:anchor="_170.315(a)(13)_Patient-Specific_Edu" w:history="1">
        <w:r w:rsidR="00626E3C" w:rsidRPr="00512064">
          <w:rPr>
            <w:rStyle w:val="Hyperlink"/>
          </w:rPr>
          <w:t>Drummond Test Report (Instructions, Expected Results, Points to Remember)</w:t>
        </w:r>
      </w:hyperlink>
    </w:p>
    <w:p w:rsidR="00626E3C" w:rsidRDefault="00B803C9" w:rsidP="00626E3C">
      <w:pPr>
        <w:pStyle w:val="ListParagraph"/>
        <w:numPr>
          <w:ilvl w:val="0"/>
          <w:numId w:val="39"/>
        </w:numPr>
      </w:pPr>
      <w:hyperlink w:anchor="_Test_Procedures" w:history="1">
        <w:r w:rsidR="00626E3C" w:rsidRPr="00512064">
          <w:rPr>
            <w:rStyle w:val="Hyperlink"/>
          </w:rPr>
          <w:t>Test Procedures</w:t>
        </w:r>
      </w:hyperlink>
    </w:p>
    <w:p w:rsidR="00626E3C" w:rsidRDefault="00B803C9" w:rsidP="00626E3C">
      <w:pPr>
        <w:pStyle w:val="ListParagraph"/>
        <w:numPr>
          <w:ilvl w:val="0"/>
          <w:numId w:val="39"/>
        </w:numPr>
      </w:pPr>
      <w:hyperlink w:anchor="_Appendix_A:_Testing" w:history="1">
        <w:r w:rsidR="00626E3C">
          <w:rPr>
            <w:rStyle w:val="Hyperlink"/>
          </w:rPr>
          <w:t>Appendix A: Testing Guide</w:t>
        </w:r>
      </w:hyperlink>
    </w:p>
    <w:p w:rsidR="00626E3C" w:rsidRDefault="00B803C9" w:rsidP="00626E3C">
      <w:pPr>
        <w:pStyle w:val="ListParagraph"/>
        <w:numPr>
          <w:ilvl w:val="0"/>
          <w:numId w:val="39"/>
        </w:numPr>
      </w:pPr>
      <w:hyperlink w:anchor="_Appendix_B:_ONC" w:history="1">
        <w:r w:rsidR="00626E3C">
          <w:rPr>
            <w:rStyle w:val="Hyperlink"/>
          </w:rPr>
          <w:t>Appendix B: ONC Criteria</w:t>
        </w:r>
      </w:hyperlink>
    </w:p>
    <w:p w:rsidR="00626E3C" w:rsidRDefault="00626E3C" w:rsidP="009D5A77">
      <w:pPr>
        <w:pStyle w:val="Heading3"/>
      </w:pPr>
    </w:p>
    <w:p w:rsidR="009D5A77" w:rsidRDefault="009D5A77" w:rsidP="009D5A77">
      <w:pPr>
        <w:pStyle w:val="Heading3"/>
      </w:pPr>
      <w:r w:rsidRPr="00EA50E7">
        <w:t>Version of ONC Test Method</w:t>
      </w:r>
      <w:bookmarkEnd w:id="0"/>
    </w:p>
    <w:p w:rsidR="009D5A77" w:rsidRDefault="0028190F" w:rsidP="009D5A77">
      <w:pPr>
        <w:ind w:left="720"/>
      </w:pPr>
      <w:r>
        <w:t>1.0</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896D77">
        <w:t>Health IT Developer</w:t>
      </w:r>
      <w:r w:rsidR="007902A0">
        <w:t xml:space="preserve"> or Participant </w:t>
      </w:r>
      <w:proofErr w:type="gramStart"/>
      <w:r w:rsidR="007902A0">
        <w:t>Under</w:t>
      </w:r>
      <w:proofErr w:type="gramEnd"/>
      <w:r w:rsidR="00967A71">
        <w:t xml:space="preserve"> </w:t>
      </w:r>
      <w:r>
        <w:t>Test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626E3C" w:rsidRDefault="00626E3C">
      <w:pPr>
        <w:rPr>
          <w:rFonts w:ascii="Arial" w:hAnsi="Arial" w:cs="Arial"/>
          <w:b/>
          <w:bCs/>
          <w:kern w:val="32"/>
          <w:sz w:val="32"/>
          <w:szCs w:val="32"/>
        </w:rPr>
      </w:pPr>
      <w:bookmarkStart w:id="2" w:name="OLE_LINK1"/>
      <w:bookmarkEnd w:id="1"/>
      <w:r>
        <w:br w:type="page"/>
      </w:r>
    </w:p>
    <w:p w:rsidR="009D5A77" w:rsidRDefault="009D5A77" w:rsidP="00257318">
      <w:pPr>
        <w:pStyle w:val="Heading1"/>
        <w:ind w:hanging="90"/>
      </w:pPr>
      <w:bookmarkStart w:id="3" w:name="_Test_Data_and"/>
      <w:bookmarkEnd w:id="3"/>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967728">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9C5B24">
                  <w:rPr>
                    <w:rFonts w:ascii="MS Gothic" w:eastAsia="MS Gothic" w:hAnsi="MS Gothic" w:cs="Leelawadee UI" w:hint="eastAsia"/>
                  </w:rPr>
                  <w:t>☐</w:t>
                </w:r>
              </w:sdtContent>
            </w:sdt>
            <w:r w:rsidR="00896D77">
              <w:rPr>
                <w:rFonts w:ascii="Leelawadee UI" w:hAnsi="Leelawadee UI" w:cs="Leelawadee UI"/>
              </w:rPr>
              <w:t xml:space="preserve">   </w:t>
            </w:r>
            <w:bookmarkStart w:id="4" w:name="_GoBack"/>
            <w:bookmarkEnd w:id="4"/>
            <w:r w:rsidR="00896D77">
              <w:rPr>
                <w:rFonts w:ascii="Leelawadee UI" w:hAnsi="Leelawadee UI" w:cs="Leelawadee UI"/>
              </w:rPr>
              <w:t xml:space="preserve">   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1"/>
                  <w14:checkedState w14:val="2612" w14:font="Arial Unicode MS"/>
                  <w14:uncheckedState w14:val="2610" w14:font="Arial Unicode MS"/>
                </w14:checkbox>
              </w:sdtPr>
              <w:sdtEndPr/>
              <w:sdtContent>
                <w:r w:rsidR="0027369D">
                  <w:rPr>
                    <w:rFonts w:ascii="MS Gothic" w:eastAsia="MS Gothic" w:hAnsi="MS Gothic" w:cs="Leelawadee UI" w:hint="eastAsia"/>
                  </w:rPr>
                  <w:t>☒</w:t>
                </w:r>
              </w:sdtContent>
            </w:sdt>
            <w:r w:rsidR="009D5A77" w:rsidRPr="00255DC9">
              <w:rPr>
                <w:rFonts w:ascii="Leelawadee UI" w:hAnsi="Leelawadee UI" w:cs="Leelawadee UI"/>
              </w:rPr>
              <w:t xml:space="preserve">  </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rPr>
            </w:pPr>
            <w:r>
              <w:rPr>
                <w:rFonts w:ascii="Leelawadee UI" w:hAnsi="Leelawadee UI" w:cs="Leelawadee UI"/>
                <w:b/>
              </w:rPr>
              <w:t>Pre-Test Data Setup:</w:t>
            </w:r>
          </w:p>
          <w:p w:rsidR="009D5A77" w:rsidRPr="00EE7D84" w:rsidRDefault="009D5A77" w:rsidP="00180515">
            <w:pPr>
              <w:pStyle w:val="ListParagraph"/>
              <w:rPr>
                <w:rFonts w:ascii="Leelawadee UI" w:hAnsi="Leelawadee UI" w:cs="Leelawadee UI"/>
              </w:rPr>
            </w:pPr>
            <w:r>
              <w:rPr>
                <w:rFonts w:ascii="Leelawadee UI" w:hAnsi="Leelawadee UI" w:cs="Leelawadee UI"/>
              </w:rPr>
              <w:t>Not applicable</w:t>
            </w:r>
            <w:r w:rsidR="00180515">
              <w:rPr>
                <w:rFonts w:ascii="Leelawadee UI" w:hAnsi="Leelawadee UI" w:cs="Leelawadee UI"/>
              </w:rPr>
              <w:t>.</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9D5A77" w:rsidRPr="00255DC9" w:rsidRDefault="00180515" w:rsidP="00180515">
            <w:pPr>
              <w:pStyle w:val="ListParagraph"/>
              <w:rPr>
                <w:rFonts w:ascii="Leelawadee UI" w:hAnsi="Leelawadee UI" w:cs="Leelawadee UI"/>
                <w:b/>
              </w:rPr>
            </w:pPr>
            <w:r>
              <w:rPr>
                <w:rFonts w:ascii="Leelawadee UI" w:hAnsi="Leelawadee UI" w:cs="Leelawadee UI"/>
              </w:rPr>
              <w:t>Developer-supplied.</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Tools:</w:t>
            </w:r>
          </w:p>
          <w:p w:rsidR="009D5A77" w:rsidRPr="00D50410" w:rsidRDefault="009D5A77" w:rsidP="00180515">
            <w:pPr>
              <w:pStyle w:val="ListParagraph"/>
              <w:rPr>
                <w:rFonts w:ascii="Leelawadee UI" w:hAnsi="Leelawadee UI" w:cs="Leelawadee UI"/>
              </w:rPr>
            </w:pPr>
            <w:r>
              <w:rPr>
                <w:rFonts w:ascii="Leelawadee UI" w:hAnsi="Leelawadee UI" w:cs="Leelawadee UI"/>
              </w:rPr>
              <w:t>Not applicable</w:t>
            </w:r>
            <w:r w:rsidR="00180515">
              <w:rPr>
                <w:rFonts w:ascii="Leelawadee UI" w:hAnsi="Leelawadee UI" w:cs="Leelawadee UI"/>
              </w:rPr>
              <w:t>.</w:t>
            </w:r>
          </w:p>
        </w:tc>
      </w:tr>
    </w:tbl>
    <w:p w:rsidR="009D5A77" w:rsidRDefault="009D5A77" w:rsidP="009D5A77"/>
    <w:p w:rsidR="00D2534F" w:rsidRDefault="00D2534F">
      <w:pPr>
        <w:rPr>
          <w:rFonts w:ascii="Arial" w:hAnsi="Arial" w:cs="Arial"/>
          <w:b/>
          <w:bCs/>
          <w:kern w:val="32"/>
          <w:sz w:val="32"/>
          <w:szCs w:val="32"/>
        </w:rPr>
      </w:pPr>
      <w:r>
        <w:br w:type="page"/>
      </w:r>
    </w:p>
    <w:p w:rsidR="00FD7F7E" w:rsidRDefault="00FD7F7E" w:rsidP="00FD7F7E">
      <w:pPr>
        <w:pStyle w:val="Heading1"/>
      </w:pPr>
      <w:bookmarkStart w:id="5" w:name="_Demonstrate_Standards_Support"/>
      <w:bookmarkEnd w:id="5"/>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124587" w:rsidTr="00BC3715">
        <w:trPr>
          <w:trHeight w:val="432"/>
        </w:trPr>
        <w:tc>
          <w:tcPr>
            <w:tcW w:w="3870" w:type="dxa"/>
            <w:shd w:val="clear" w:color="auto" w:fill="DBE5F1" w:themeFill="accent1" w:themeFillTint="33"/>
          </w:tcPr>
          <w:p w:rsidR="00124587" w:rsidRPr="00255DC9" w:rsidRDefault="00124587" w:rsidP="00BC3715">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124587" w:rsidRPr="00255DC9" w:rsidRDefault="00124587" w:rsidP="00BC3715">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124587" w:rsidTr="00BC3715">
        <w:trPr>
          <w:trHeight w:val="432"/>
        </w:trPr>
        <w:tc>
          <w:tcPr>
            <w:tcW w:w="8730" w:type="dxa"/>
            <w:gridSpan w:val="2"/>
            <w:shd w:val="clear" w:color="auto" w:fill="DBE5F1" w:themeFill="accent1" w:themeFillTint="33"/>
          </w:tcPr>
          <w:p w:rsidR="00124587" w:rsidRPr="00EE7D84" w:rsidRDefault="00124587" w:rsidP="006702B8">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7B5D79">
              <w:rPr>
                <w:rFonts w:ascii="Leelawadee UI" w:hAnsi="Leelawadee UI" w:cs="Leelawadee UI"/>
              </w:rPr>
              <w:t xml:space="preserve"> </w:t>
            </w:r>
            <w:r w:rsidR="00034A08" w:rsidRPr="00F97EB5">
              <w:rPr>
                <w:rFonts w:ascii="Leelawadee UI" w:hAnsi="Leelawadee UI" w:cs="Leelawadee UI"/>
              </w:rPr>
              <w:t>Identify patient-specific education resources in accordance with either §170.204(b</w:t>
            </w:r>
            <w:proofErr w:type="gramStart"/>
            <w:r w:rsidR="00034A08" w:rsidRPr="00F97EB5">
              <w:rPr>
                <w:rFonts w:ascii="Leelawadee UI" w:hAnsi="Leelawadee UI" w:cs="Leelawadee UI"/>
              </w:rPr>
              <w:t>)(</w:t>
            </w:r>
            <w:proofErr w:type="gramEnd"/>
            <w:r w:rsidR="00034A08" w:rsidRPr="00F97EB5">
              <w:rPr>
                <w:rFonts w:ascii="Leelawadee UI" w:hAnsi="Leelawadee UI" w:cs="Leelawadee UI"/>
              </w:rPr>
              <w:t>3) or §170.204(b)(4).</w:t>
            </w:r>
            <w:r w:rsidR="00034A08">
              <w:t xml:space="preserve"> </w:t>
            </w:r>
            <w:r w:rsidR="00F97EB5">
              <w:rPr>
                <w:rFonts w:ascii="Leelawadee UI" w:hAnsi="Leelawadee UI" w:cs="Leelawadee UI"/>
              </w:rPr>
              <w:t xml:space="preserve">For additional references, click </w:t>
            </w:r>
            <w:hyperlink r:id="rId8" w:history="1">
              <w:r w:rsidR="00F97EB5">
                <w:rPr>
                  <w:rStyle w:val="Hyperlink"/>
                  <w:rFonts w:ascii="Leelawadee UI" w:hAnsi="Leelawadee UI" w:cs="Leelawadee UI"/>
                </w:rPr>
                <w:t>here</w:t>
              </w:r>
            </w:hyperlink>
            <w:r w:rsidR="00F97EB5">
              <w:rPr>
                <w:rFonts w:ascii="Leelawadee UI" w:hAnsi="Leelawadee UI" w:cs="Leelawadee UI"/>
              </w:rPr>
              <w:t xml:space="preserve"> for the ONC Standards Hub.</w:t>
            </w:r>
            <w:r w:rsidR="00F97EB5">
              <w:t xml:space="preserve">     </w:t>
            </w:r>
          </w:p>
        </w:tc>
      </w:tr>
    </w:tbl>
    <w:p w:rsidR="00124587" w:rsidRDefault="00124587" w:rsidP="00FD7F7E">
      <w:pPr>
        <w:spacing w:line="360" w:lineRule="auto"/>
        <w:rPr>
          <w:color w:val="D9D9D9" w:themeColor="background1" w:themeShade="D9"/>
        </w:rPr>
      </w:pPr>
    </w:p>
    <w:p w:rsidR="00615170" w:rsidRDefault="00615170" w:rsidP="00FD7F7E">
      <w:pPr>
        <w:spacing w:line="360" w:lineRule="auto"/>
        <w:rPr>
          <w:color w:val="D9D9D9" w:themeColor="background1" w:themeShade="D9"/>
        </w:rPr>
      </w:pPr>
    </w:p>
    <w:tbl>
      <w:tblPr>
        <w:tblStyle w:val="TableGrid"/>
        <w:tblW w:w="9196" w:type="dxa"/>
        <w:tblInd w:w="-291" w:type="dxa"/>
        <w:tblLayout w:type="fixed"/>
        <w:tblLook w:val="04A0" w:firstRow="1" w:lastRow="0" w:firstColumn="1" w:lastColumn="0" w:noHBand="0" w:noVBand="1"/>
      </w:tblPr>
      <w:tblGrid>
        <w:gridCol w:w="736"/>
        <w:gridCol w:w="1710"/>
        <w:gridCol w:w="6750"/>
      </w:tblGrid>
      <w:tr w:rsidR="00615170" w:rsidTr="004A6BF3">
        <w:trPr>
          <w:trHeight w:val="432"/>
        </w:trPr>
        <w:tc>
          <w:tcPr>
            <w:tcW w:w="736" w:type="dxa"/>
            <w:shd w:val="clear" w:color="auto" w:fill="DBE5F1" w:themeFill="accent1" w:themeFillTint="33"/>
          </w:tcPr>
          <w:p w:rsidR="00615170" w:rsidRPr="004748BF" w:rsidRDefault="00615170" w:rsidP="00B606A2"/>
        </w:tc>
        <w:tc>
          <w:tcPr>
            <w:tcW w:w="1710" w:type="dxa"/>
            <w:shd w:val="clear" w:color="auto" w:fill="DBE5F1" w:themeFill="accent1" w:themeFillTint="33"/>
          </w:tcPr>
          <w:p w:rsidR="00615170" w:rsidRPr="005F4354" w:rsidRDefault="00615170" w:rsidP="00B606A2">
            <w:pPr>
              <w:rPr>
                <w:rFonts w:ascii="Leelawadee UI" w:hAnsi="Leelawadee UI" w:cs="Leelawadee UI"/>
                <w:b/>
              </w:rPr>
            </w:pPr>
            <w:r w:rsidRPr="005F4354">
              <w:rPr>
                <w:rFonts w:ascii="Leelawadee UI" w:hAnsi="Leelawadee UI" w:cs="Leelawadee UI"/>
                <w:b/>
              </w:rPr>
              <w:t>Standard</w:t>
            </w:r>
          </w:p>
        </w:tc>
        <w:tc>
          <w:tcPr>
            <w:tcW w:w="6750" w:type="dxa"/>
            <w:shd w:val="clear" w:color="auto" w:fill="DBE5F1" w:themeFill="accent1" w:themeFillTint="33"/>
          </w:tcPr>
          <w:p w:rsidR="00615170" w:rsidRPr="005F4354" w:rsidRDefault="00615170" w:rsidP="00B606A2">
            <w:pPr>
              <w:rPr>
                <w:rFonts w:ascii="Leelawadee UI" w:hAnsi="Leelawadee UI" w:cs="Leelawadee UI"/>
                <w:b/>
              </w:rPr>
            </w:pPr>
          </w:p>
        </w:tc>
      </w:tr>
      <w:tr w:rsidR="00615170" w:rsidTr="004A6BF3">
        <w:trPr>
          <w:trHeight w:val="432"/>
        </w:trPr>
        <w:sdt>
          <w:sdtPr>
            <w:id w:val="399182296"/>
            <w14:checkbox>
              <w14:checked w14:val="0"/>
              <w14:checkedState w14:val="2612" w14:font="Arial Unicode MS"/>
              <w14:uncheckedState w14:val="2610" w14:font="Arial Unicode MS"/>
            </w14:checkbox>
          </w:sdtPr>
          <w:sdtEndPr/>
          <w:sdtContent>
            <w:tc>
              <w:tcPr>
                <w:tcW w:w="736" w:type="dxa"/>
              </w:tcPr>
              <w:p w:rsidR="00615170" w:rsidRDefault="00615170" w:rsidP="00B606A2">
                <w:r>
                  <w:rPr>
                    <w:rFonts w:ascii="MS Gothic" w:eastAsia="MS Gothic" w:hAnsi="MS Gothic" w:hint="eastAsia"/>
                  </w:rPr>
                  <w:t>☐</w:t>
                </w:r>
              </w:p>
            </w:tc>
          </w:sdtContent>
        </w:sdt>
        <w:tc>
          <w:tcPr>
            <w:tcW w:w="1710" w:type="dxa"/>
          </w:tcPr>
          <w:p w:rsidR="00615170" w:rsidRDefault="008037FE" w:rsidP="00B606A2">
            <w:r w:rsidRPr="008037FE">
              <w:t>§170.204(b)(3</w:t>
            </w:r>
            <w:r>
              <w:t>)</w:t>
            </w:r>
          </w:p>
        </w:tc>
        <w:tc>
          <w:tcPr>
            <w:tcW w:w="6750" w:type="dxa"/>
          </w:tcPr>
          <w:p w:rsidR="00615170" w:rsidRDefault="008037FE" w:rsidP="008037FE">
            <w:pPr>
              <w:rPr>
                <w:sz w:val="23"/>
                <w:szCs w:val="23"/>
              </w:rPr>
            </w:pPr>
            <w:r>
              <w:rPr>
                <w:sz w:val="23"/>
                <w:szCs w:val="23"/>
              </w:rPr>
              <w:t>HL7 Version 3 Standard: Context Aware Retrieval Application (“</w:t>
            </w:r>
            <w:proofErr w:type="spellStart"/>
            <w:r>
              <w:rPr>
                <w:sz w:val="23"/>
                <w:szCs w:val="23"/>
              </w:rPr>
              <w:t>Infobutton</w:t>
            </w:r>
            <w:proofErr w:type="spellEnd"/>
            <w:r>
              <w:rPr>
                <w:sz w:val="23"/>
                <w:szCs w:val="23"/>
              </w:rPr>
              <w:t>”), Knowledge Request, Release 2</w:t>
            </w:r>
            <w:r w:rsidR="008D2131">
              <w:rPr>
                <w:sz w:val="23"/>
                <w:szCs w:val="23"/>
              </w:rPr>
              <w:t xml:space="preserve">.  Implementation Specifications.  HL7 Implementation Guide: </w:t>
            </w:r>
            <w:r w:rsidR="008D2131" w:rsidRPr="003470F0">
              <w:rPr>
                <w:b/>
                <w:sz w:val="23"/>
                <w:szCs w:val="23"/>
              </w:rPr>
              <w:t>Service-Oriented Architecture</w:t>
            </w:r>
            <w:r w:rsidR="008D2131">
              <w:rPr>
                <w:sz w:val="23"/>
                <w:szCs w:val="23"/>
              </w:rPr>
              <w:t xml:space="preserve"> Implementations of the Context-aware Knowledge Retrieval (</w:t>
            </w:r>
            <w:proofErr w:type="spellStart"/>
            <w:r w:rsidR="008D2131">
              <w:rPr>
                <w:sz w:val="23"/>
                <w:szCs w:val="23"/>
              </w:rPr>
              <w:t>Infobutton</w:t>
            </w:r>
            <w:proofErr w:type="spellEnd"/>
            <w:r w:rsidR="008D2131">
              <w:rPr>
                <w:sz w:val="23"/>
                <w:szCs w:val="23"/>
              </w:rPr>
              <w:t>) Domain, Release 1</w:t>
            </w:r>
            <w:r w:rsidR="003470F0">
              <w:rPr>
                <w:sz w:val="23"/>
                <w:szCs w:val="23"/>
              </w:rPr>
              <w:t xml:space="preserve"> </w:t>
            </w:r>
            <w:hyperlink r:id="rId9" w:history="1">
              <w:r w:rsidR="003470F0" w:rsidRPr="00CE0505">
                <w:rPr>
                  <w:rStyle w:val="Hyperlink"/>
                  <w:sz w:val="23"/>
                  <w:szCs w:val="23"/>
                </w:rPr>
                <w:t>http://www.hl7.org/implement/standards/product_brief.cfm?product_id=283</w:t>
              </w:r>
            </w:hyperlink>
          </w:p>
          <w:p w:rsidR="003470F0" w:rsidRDefault="003470F0" w:rsidP="008037FE"/>
        </w:tc>
      </w:tr>
      <w:tr w:rsidR="008037FE" w:rsidTr="004A6BF3">
        <w:trPr>
          <w:trHeight w:val="432"/>
        </w:trPr>
        <w:sdt>
          <w:sdtPr>
            <w:id w:val="-1219661000"/>
            <w14:checkbox>
              <w14:checked w14:val="0"/>
              <w14:checkedState w14:val="2612" w14:font="Arial Unicode MS"/>
              <w14:uncheckedState w14:val="2610" w14:font="Arial Unicode MS"/>
            </w14:checkbox>
          </w:sdtPr>
          <w:sdtEndPr/>
          <w:sdtContent>
            <w:tc>
              <w:tcPr>
                <w:tcW w:w="736" w:type="dxa"/>
              </w:tcPr>
              <w:p w:rsidR="008037FE" w:rsidRDefault="008037FE" w:rsidP="008037FE">
                <w:r>
                  <w:rPr>
                    <w:rFonts w:ascii="MS Gothic" w:eastAsia="MS Gothic" w:hAnsi="MS Gothic" w:hint="eastAsia"/>
                  </w:rPr>
                  <w:t>☐</w:t>
                </w:r>
              </w:p>
            </w:tc>
          </w:sdtContent>
        </w:sdt>
        <w:tc>
          <w:tcPr>
            <w:tcW w:w="1710" w:type="dxa"/>
          </w:tcPr>
          <w:p w:rsidR="008037FE" w:rsidRDefault="008037FE" w:rsidP="008037FE">
            <w:r w:rsidRPr="008037FE">
              <w:t>§170.204(b)(</w:t>
            </w:r>
            <w:r>
              <w:t>4)</w:t>
            </w:r>
          </w:p>
        </w:tc>
        <w:tc>
          <w:tcPr>
            <w:tcW w:w="6750" w:type="dxa"/>
          </w:tcPr>
          <w:p w:rsidR="008037FE" w:rsidRDefault="008037FE" w:rsidP="008037FE">
            <w:pPr>
              <w:rPr>
                <w:sz w:val="23"/>
                <w:szCs w:val="23"/>
              </w:rPr>
            </w:pPr>
            <w:r>
              <w:rPr>
                <w:sz w:val="23"/>
                <w:szCs w:val="23"/>
              </w:rPr>
              <w:t>HL7 Version 3 Standard: Context Aware Retrieval Application (“</w:t>
            </w:r>
            <w:proofErr w:type="spellStart"/>
            <w:r>
              <w:rPr>
                <w:sz w:val="23"/>
                <w:szCs w:val="23"/>
              </w:rPr>
              <w:t>Infobutton</w:t>
            </w:r>
            <w:proofErr w:type="spellEnd"/>
            <w:r>
              <w:rPr>
                <w:sz w:val="23"/>
                <w:szCs w:val="23"/>
              </w:rPr>
              <w:t>”), Knowledge Request, Release 2</w:t>
            </w:r>
            <w:r w:rsidR="008D2131">
              <w:rPr>
                <w:sz w:val="23"/>
                <w:szCs w:val="23"/>
              </w:rPr>
              <w:t>.</w:t>
            </w:r>
            <w:r w:rsidRPr="008037FE">
              <w:rPr>
                <w:sz w:val="23"/>
                <w:szCs w:val="23"/>
              </w:rPr>
              <w:t xml:space="preserve"> </w:t>
            </w:r>
            <w:r w:rsidR="008D2131">
              <w:rPr>
                <w:sz w:val="23"/>
                <w:szCs w:val="23"/>
              </w:rPr>
              <w:t xml:space="preserve">  Implementation Specifications.  HL7 Version 3 Implementation Guide: </w:t>
            </w:r>
            <w:r w:rsidR="008D2131" w:rsidRPr="003470F0">
              <w:rPr>
                <w:b/>
                <w:sz w:val="23"/>
                <w:szCs w:val="23"/>
              </w:rPr>
              <w:t xml:space="preserve">Context-Aware Knowledge Retrieval </w:t>
            </w:r>
            <w:r w:rsidR="008D2131">
              <w:rPr>
                <w:sz w:val="23"/>
                <w:szCs w:val="23"/>
              </w:rPr>
              <w:t>(</w:t>
            </w:r>
            <w:proofErr w:type="spellStart"/>
            <w:r w:rsidR="008D2131">
              <w:rPr>
                <w:sz w:val="23"/>
                <w:szCs w:val="23"/>
              </w:rPr>
              <w:t>Infobutton</w:t>
            </w:r>
            <w:proofErr w:type="spellEnd"/>
            <w:r w:rsidR="008D2131">
              <w:rPr>
                <w:sz w:val="23"/>
                <w:szCs w:val="23"/>
              </w:rPr>
              <w:t>), Release 4</w:t>
            </w:r>
          </w:p>
          <w:p w:rsidR="003470F0" w:rsidRDefault="00B803C9" w:rsidP="003470F0">
            <w:hyperlink r:id="rId10" w:history="1">
              <w:r w:rsidR="003470F0" w:rsidRPr="00CE0505">
                <w:rPr>
                  <w:rStyle w:val="Hyperlink"/>
                </w:rPr>
                <w:t>http://www.hl7.org/implement/standards/product_brief.cfm?product_id=22</w:t>
              </w:r>
            </w:hyperlink>
          </w:p>
          <w:p w:rsidR="00B02140" w:rsidRDefault="00B02140" w:rsidP="003470F0"/>
        </w:tc>
      </w:tr>
      <w:tr w:rsidR="008037FE" w:rsidTr="004A6BF3">
        <w:trPr>
          <w:trHeight w:val="432"/>
        </w:trPr>
        <w:sdt>
          <w:sdtPr>
            <w:id w:val="2025667417"/>
            <w14:checkbox>
              <w14:checked w14:val="0"/>
              <w14:checkedState w14:val="2612" w14:font="Arial Unicode MS"/>
              <w14:uncheckedState w14:val="2610" w14:font="Arial Unicode MS"/>
            </w14:checkbox>
          </w:sdtPr>
          <w:sdtEndPr/>
          <w:sdtContent>
            <w:tc>
              <w:tcPr>
                <w:tcW w:w="736" w:type="dxa"/>
              </w:tcPr>
              <w:p w:rsidR="008037FE" w:rsidRDefault="008037FE" w:rsidP="008037FE">
                <w:r>
                  <w:rPr>
                    <w:rFonts w:ascii="MS Gothic" w:eastAsia="MS Gothic" w:hAnsi="MS Gothic" w:hint="eastAsia"/>
                  </w:rPr>
                  <w:t>☐</w:t>
                </w:r>
              </w:p>
            </w:tc>
          </w:sdtContent>
        </w:sdt>
        <w:tc>
          <w:tcPr>
            <w:tcW w:w="1710" w:type="dxa"/>
          </w:tcPr>
          <w:p w:rsidR="008037FE" w:rsidRDefault="008037FE" w:rsidP="008037FE">
            <w:r>
              <w:t>§170.207(g)(2)</w:t>
            </w:r>
          </w:p>
        </w:tc>
        <w:tc>
          <w:tcPr>
            <w:tcW w:w="6750" w:type="dxa"/>
          </w:tcPr>
          <w:p w:rsidR="008037FE" w:rsidRDefault="008037FE" w:rsidP="008037FE">
            <w:pPr>
              <w:rPr>
                <w:sz w:val="23"/>
                <w:szCs w:val="23"/>
              </w:rPr>
            </w:pPr>
            <w:r>
              <w:rPr>
                <w:sz w:val="23"/>
                <w:szCs w:val="23"/>
              </w:rPr>
              <w:t xml:space="preserve">OPTIONAL: Request for Comment (RFC) 5646, “Tags for Identifying Languages, September 2009” </w:t>
            </w:r>
          </w:p>
          <w:p w:rsidR="004A6BF3" w:rsidRDefault="00B803C9" w:rsidP="008037FE">
            <w:pPr>
              <w:rPr>
                <w:sz w:val="23"/>
                <w:szCs w:val="23"/>
              </w:rPr>
            </w:pPr>
            <w:hyperlink r:id="rId11" w:history="1">
              <w:r w:rsidR="004A6BF3" w:rsidRPr="00CE0505">
                <w:rPr>
                  <w:rStyle w:val="Hyperlink"/>
                  <w:sz w:val="23"/>
                  <w:szCs w:val="23"/>
                </w:rPr>
                <w:t>http://www.rfc-editor.org/info/rfc5646</w:t>
              </w:r>
            </w:hyperlink>
          </w:p>
          <w:p w:rsidR="004A6BF3" w:rsidRDefault="004A6BF3" w:rsidP="008037FE">
            <w:pPr>
              <w:rPr>
                <w:sz w:val="23"/>
                <w:szCs w:val="23"/>
              </w:rPr>
            </w:pPr>
          </w:p>
        </w:tc>
      </w:tr>
    </w:tbl>
    <w:p w:rsidR="00615170" w:rsidRDefault="00615170" w:rsidP="00FD7F7E">
      <w:pPr>
        <w:spacing w:line="360" w:lineRule="auto"/>
        <w:rPr>
          <w:color w:val="D9D9D9" w:themeColor="background1" w:themeShade="D9"/>
        </w:rPr>
      </w:pPr>
    </w:p>
    <w:p w:rsidR="004A3AA7" w:rsidRDefault="004A3AA7"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362E3C" w:rsidRDefault="00034A08" w:rsidP="00FD7F7E">
      <w:pPr>
        <w:pStyle w:val="Heading1"/>
      </w:pPr>
      <w:bookmarkStart w:id="6" w:name="_170.315(a)(13)_Patient-Specific_Edu"/>
      <w:bookmarkEnd w:id="6"/>
      <w:r>
        <w:lastRenderedPageBreak/>
        <w:t>170.315(a</w:t>
      </w:r>
      <w:proofErr w:type="gramStart"/>
      <w:r>
        <w:t>)(</w:t>
      </w:r>
      <w:proofErr w:type="gramEnd"/>
      <w:r>
        <w:t>13) Patient-Specific Education Resources</w:t>
      </w:r>
    </w:p>
    <w:p w:rsidR="00255DC9" w:rsidRPr="00255DC9" w:rsidRDefault="00255DC9" w:rsidP="00255DC9"/>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362E3C" w:rsidTr="00255DC9">
        <w:trPr>
          <w:trHeight w:val="432"/>
        </w:trPr>
        <w:tc>
          <w:tcPr>
            <w:tcW w:w="387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4860" w:type="dxa"/>
            <w:shd w:val="clear" w:color="auto" w:fill="DBE5F1" w:themeFill="accent1" w:themeFillTint="33"/>
          </w:tcPr>
          <w:p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362E3C" w:rsidTr="00255DC9">
        <w:trPr>
          <w:trHeight w:val="432"/>
        </w:trPr>
        <w:tc>
          <w:tcPr>
            <w:tcW w:w="8730" w:type="dxa"/>
            <w:gridSpan w:val="2"/>
            <w:shd w:val="clear" w:color="auto" w:fill="DBE5F1" w:themeFill="accent1" w:themeFillTint="33"/>
          </w:tcPr>
          <w:p w:rsidR="00034A08" w:rsidRDefault="00362E3C" w:rsidP="00034A08">
            <w:r w:rsidRPr="00255DC9">
              <w:rPr>
                <w:rFonts w:ascii="Leelawadee UI" w:hAnsi="Leelawadee UI" w:cs="Leelawadee UI"/>
                <w:b/>
              </w:rPr>
              <w:t>Instructions:</w:t>
            </w:r>
            <w:r w:rsidRPr="00255DC9">
              <w:rPr>
                <w:rFonts w:ascii="Leelawadee UI" w:hAnsi="Leelawadee UI" w:cs="Leelawadee UI"/>
              </w:rPr>
              <w:t xml:space="preserve"> </w:t>
            </w:r>
            <w:r w:rsidR="00034A08">
              <w:t>Identify patient-specific education resources based on data included in the patient’s:</w:t>
            </w:r>
          </w:p>
          <w:p w:rsidR="00034A08" w:rsidRPr="00034A08" w:rsidRDefault="00034A08" w:rsidP="00034A08">
            <w:pPr>
              <w:pStyle w:val="ListParagraph"/>
              <w:numPr>
                <w:ilvl w:val="0"/>
                <w:numId w:val="29"/>
              </w:numPr>
              <w:rPr>
                <w:rFonts w:ascii="Leelawadee UI" w:hAnsi="Leelawadee UI" w:cs="Leelawadee UI"/>
              </w:rPr>
            </w:pPr>
            <w:r>
              <w:t>Problem list</w:t>
            </w:r>
          </w:p>
          <w:p w:rsidR="00362E3C" w:rsidRPr="00034A08" w:rsidRDefault="00034A08" w:rsidP="00674E48">
            <w:pPr>
              <w:pStyle w:val="ListParagraph"/>
              <w:numPr>
                <w:ilvl w:val="0"/>
                <w:numId w:val="29"/>
              </w:numPr>
              <w:rPr>
                <w:rFonts w:ascii="Leelawadee UI" w:hAnsi="Leelawadee UI" w:cs="Leelawadee UI"/>
              </w:rPr>
            </w:pPr>
            <w:r>
              <w:t>Medication list</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255DC9">
              <w:rPr>
                <w:rFonts w:ascii="Leelawadee UI" w:hAnsi="Leelawadee UI" w:cs="Leelawadee UI"/>
                <w:b/>
              </w:rPr>
              <w:t xml:space="preserve">Expected Test Result: </w:t>
            </w:r>
          </w:p>
          <w:p w:rsidR="00245080" w:rsidRPr="008874D4" w:rsidRDefault="003470F0" w:rsidP="008874D4">
            <w:pPr>
              <w:numPr>
                <w:ilvl w:val="0"/>
                <w:numId w:val="27"/>
              </w:numPr>
              <w:rPr>
                <w:rFonts w:ascii="Leelawadee UI" w:hAnsi="Leelawadee UI" w:cs="Leelawadee UI"/>
                <w:b/>
              </w:rPr>
            </w:pPr>
            <w:r>
              <w:t xml:space="preserve">Enable a user to identify </w:t>
            </w:r>
            <w:r w:rsidR="009375B6">
              <w:t>patient-specific education resources based on the patient’s</w:t>
            </w:r>
            <w:r w:rsidR="00674E48">
              <w:t xml:space="preserve"> problem list and medication list </w:t>
            </w:r>
            <w:r w:rsidR="009375B6">
              <w:t xml:space="preserve">in accordance with the standards specified in </w:t>
            </w:r>
            <w:r w:rsidR="009375B6" w:rsidRPr="008037FE">
              <w:t>§170.204(b)(3</w:t>
            </w:r>
            <w:r w:rsidR="009375B6">
              <w:t xml:space="preserve">) or §170.204(b)(4). </w:t>
            </w:r>
            <w:r w:rsidR="0027369D">
              <w:t xml:space="preserve">  </w:t>
            </w:r>
          </w:p>
          <w:p w:rsidR="008874D4" w:rsidRPr="00D61409" w:rsidRDefault="008874D4" w:rsidP="008874D4">
            <w:pPr>
              <w:numPr>
                <w:ilvl w:val="0"/>
                <w:numId w:val="27"/>
              </w:numPr>
              <w:rPr>
                <w:rFonts w:ascii="Leelawadee UI" w:hAnsi="Leelawadee UI" w:cs="Leelawadee UI"/>
                <w:b/>
              </w:rPr>
            </w:pPr>
            <w:r w:rsidRPr="008874D4">
              <w:t xml:space="preserve">Compliance to the </w:t>
            </w:r>
            <w:proofErr w:type="spellStart"/>
            <w:r w:rsidRPr="008874D4">
              <w:t>Infobutton</w:t>
            </w:r>
            <w:proofErr w:type="spellEnd"/>
            <w:r w:rsidRPr="008874D4">
              <w:t xml:space="preserve"> functionality can be demonstrated either by providing a copy of the XML data, showing data packet analyzer or showing API configuration to a confirmed </w:t>
            </w:r>
            <w:proofErr w:type="spellStart"/>
            <w:r w:rsidRPr="008874D4">
              <w:t>Infobutton</w:t>
            </w:r>
            <w:proofErr w:type="spellEnd"/>
            <w:r w:rsidRPr="008874D4">
              <w:t xml:space="preserve"> server.</w:t>
            </w:r>
          </w:p>
          <w:p w:rsidR="00D61409" w:rsidRPr="00255DC9" w:rsidRDefault="00D61409" w:rsidP="008874D4">
            <w:pPr>
              <w:numPr>
                <w:ilvl w:val="0"/>
                <w:numId w:val="27"/>
              </w:numPr>
              <w:rPr>
                <w:rFonts w:ascii="Leelawadee UI" w:hAnsi="Leelawadee UI" w:cs="Leelawadee UI"/>
                <w:b/>
              </w:rPr>
            </w:pPr>
            <w:r>
              <w:t>OPTIONAL: Enable a user to request patient-specific education resources be identified based on the patient’s preferred language identified with the codes in the RFC 5646 standard.</w:t>
            </w: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Pr>
                <w:rFonts w:ascii="Leelawadee UI" w:hAnsi="Leelawadee UI" w:cs="Leelawadee UI"/>
                <w:b/>
              </w:rPr>
              <w:t>Points to Remember:</w:t>
            </w:r>
          </w:p>
          <w:p w:rsidR="00674E48" w:rsidRPr="00D33C1D" w:rsidRDefault="00034A08" w:rsidP="00674E48">
            <w:pPr>
              <w:numPr>
                <w:ilvl w:val="0"/>
                <w:numId w:val="30"/>
              </w:numPr>
              <w:rPr>
                <w:rFonts w:ascii="Leelawadee UI" w:hAnsi="Leelawadee UI" w:cs="Leelawadee UI"/>
                <w:b/>
              </w:rPr>
            </w:pPr>
            <w:r>
              <w:t>CMS MU Incentive Programs requires</w:t>
            </w:r>
            <w:r w:rsidR="009375B6">
              <w:t xml:space="preserve"> </w:t>
            </w:r>
            <w:r w:rsidR="007D6D9F">
              <w:t>certified EHR technology (CEHRT)</w:t>
            </w:r>
            <w:r w:rsidR="009375B6">
              <w:t xml:space="preserve"> to identify </w:t>
            </w:r>
            <w:r>
              <w:t xml:space="preserve">patient-specific education </w:t>
            </w:r>
            <w:r w:rsidR="009375B6">
              <w:t xml:space="preserve">using </w:t>
            </w:r>
            <w:r w:rsidR="009375B6" w:rsidRPr="007D6D9F">
              <w:rPr>
                <w:i/>
              </w:rPr>
              <w:t>Problem List</w:t>
            </w:r>
            <w:r w:rsidR="00674E48">
              <w:t xml:space="preserve"> and </w:t>
            </w:r>
            <w:r w:rsidR="009375B6" w:rsidRPr="007D6D9F">
              <w:rPr>
                <w:i/>
              </w:rPr>
              <w:t>Medication List</w:t>
            </w:r>
            <w:r w:rsidR="00674E48">
              <w:rPr>
                <w:i/>
              </w:rPr>
              <w:t>.</w:t>
            </w:r>
          </w:p>
          <w:p w:rsidR="004C6638" w:rsidRPr="00E22856" w:rsidRDefault="00D33C1D" w:rsidP="00D33C1D">
            <w:pPr>
              <w:numPr>
                <w:ilvl w:val="0"/>
                <w:numId w:val="30"/>
              </w:numPr>
              <w:rPr>
                <w:rFonts w:ascii="Leelawadee UI" w:hAnsi="Leelawadee UI" w:cs="Leelawadee UI"/>
                <w:b/>
              </w:rPr>
            </w:pPr>
            <w:r>
              <w:t xml:space="preserve">CMS no longer permitting paper-based actions to support the patient-specific education measure.  See </w:t>
            </w:r>
            <w:hyperlink w:anchor="_Appendix_A:_Testing" w:history="1">
              <w:r w:rsidRPr="00D33C1D">
                <w:rPr>
                  <w:rStyle w:val="Hyperlink"/>
                </w:rPr>
                <w:t>Appendix A</w:t>
              </w:r>
            </w:hyperlink>
            <w:r>
              <w:t xml:space="preserve"> for further details.</w:t>
            </w:r>
          </w:p>
        </w:tc>
      </w:tr>
    </w:tbl>
    <w:p w:rsidR="00362E3C" w:rsidRPr="00BD095A" w:rsidRDefault="00362E3C" w:rsidP="004151F1">
      <w:pPr>
        <w:rPr>
          <w:rFonts w:ascii="Arial" w:hAnsi="Arial" w:cs="Arial"/>
          <w:b/>
          <w:sz w:val="26"/>
          <w:szCs w:val="26"/>
        </w:rPr>
      </w:pPr>
    </w:p>
    <w:p w:rsidR="00123161" w:rsidRDefault="00123161">
      <w:pPr>
        <w:rPr>
          <w:rFonts w:ascii="Arial" w:hAnsi="Arial" w:cs="Arial"/>
          <w:b/>
          <w:sz w:val="26"/>
          <w:szCs w:val="26"/>
        </w:rPr>
      </w:pPr>
      <w:r>
        <w:rPr>
          <w:rFonts w:ascii="Arial" w:hAnsi="Arial" w:cs="Arial"/>
          <w:b/>
          <w:sz w:val="26"/>
          <w:szCs w:val="26"/>
        </w:rPr>
        <w:br w:type="page"/>
      </w:r>
    </w:p>
    <w:p w:rsidR="00626E3C" w:rsidRDefault="00626E3C" w:rsidP="00626E3C">
      <w:pPr>
        <w:pStyle w:val="Heading3"/>
        <w:rPr>
          <w:u w:val="single"/>
        </w:rPr>
      </w:pPr>
      <w:bookmarkStart w:id="7" w:name="_Test_Procedures"/>
      <w:bookmarkEnd w:id="7"/>
      <w:r>
        <w:rPr>
          <w:u w:val="single"/>
        </w:rPr>
        <w:lastRenderedPageBreak/>
        <w:t>Test Procedures</w:t>
      </w:r>
    </w:p>
    <w:p w:rsidR="00BD095A" w:rsidRDefault="00422971" w:rsidP="00422971">
      <w:pPr>
        <w:pStyle w:val="Heading3"/>
        <w:rPr>
          <w:rFonts w:ascii="Leelawadee" w:hAnsi="Leelawadee" w:cs="Leelawadee"/>
          <w:sz w:val="18"/>
          <w:szCs w:val="18"/>
        </w:rPr>
      </w:pPr>
      <w:r>
        <w:rPr>
          <w:rFonts w:ascii="Times New Roman" w:hAnsi="Times New Roman" w:cs="Times New Roman"/>
          <w:bCs w:val="0"/>
          <w:sz w:val="24"/>
          <w:szCs w:val="24"/>
        </w:rPr>
        <w:t>1.1 Patient-specific Education Resources</w:t>
      </w:r>
    </w:p>
    <w:tbl>
      <w:tblPr>
        <w:tblStyle w:val="TableGrid"/>
        <w:tblW w:w="0" w:type="auto"/>
        <w:tblLook w:val="04A0" w:firstRow="1" w:lastRow="0" w:firstColumn="1" w:lastColumn="0" w:noHBand="0" w:noVBand="1"/>
      </w:tblPr>
      <w:tblGrid>
        <w:gridCol w:w="828"/>
        <w:gridCol w:w="7668"/>
      </w:tblGrid>
      <w:tr w:rsidR="00A1695A" w:rsidTr="00896D77">
        <w:sdt>
          <w:sdtPr>
            <w:id w:val="-1534265675"/>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vAlign w:val="center"/>
              </w:tcPr>
              <w:p w:rsidR="00A1695A" w:rsidRDefault="00A1695A" w:rsidP="00B606A2">
                <w:pPr>
                  <w:spacing w:line="360" w:lineRule="auto"/>
                  <w:rPr>
                    <w:u w:val="single"/>
                  </w:rPr>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A1695A" w:rsidRPr="00C15A82" w:rsidRDefault="004C6638" w:rsidP="00F94B24">
            <w:pPr>
              <w:spacing w:line="360" w:lineRule="auto"/>
            </w:pPr>
            <w:r>
              <w:t>Identify relevant patient-specific education resource</w:t>
            </w:r>
            <w:r w:rsidR="00F94B24">
              <w:t xml:space="preserve">s for patient through </w:t>
            </w:r>
            <w:proofErr w:type="spellStart"/>
            <w:r w:rsidR="00F94B24">
              <w:t>Infobutton</w:t>
            </w:r>
            <w:proofErr w:type="spellEnd"/>
            <w:r w:rsidR="00F94B24">
              <w:t xml:space="preserve"> functionality based on patient’s </w:t>
            </w:r>
            <w:r w:rsidR="00F94B24" w:rsidRPr="00F94B24">
              <w:rPr>
                <w:b/>
              </w:rPr>
              <w:t>Problem List</w:t>
            </w:r>
          </w:p>
        </w:tc>
      </w:tr>
      <w:tr w:rsidR="00A1695A" w:rsidTr="00896D77">
        <w:sdt>
          <w:sdtPr>
            <w:id w:val="1821537501"/>
            <w14:checkbox>
              <w14:checked w14:val="0"/>
              <w14:checkedState w14:val="2612" w14:font="Arial Unicode MS"/>
              <w14:uncheckedState w14:val="2610" w14:font="Arial Unicode MS"/>
            </w14:checkbox>
          </w:sdtPr>
          <w:sdtEndPr/>
          <w:sdtContent>
            <w:tc>
              <w:tcPr>
                <w:tcW w:w="828" w:type="dxa"/>
                <w:tcBorders>
                  <w:top w:val="single" w:sz="4" w:space="0" w:color="auto"/>
                  <w:bottom w:val="single" w:sz="4" w:space="0" w:color="auto"/>
                  <w:right w:val="single" w:sz="4" w:space="0" w:color="auto"/>
                </w:tcBorders>
                <w:vAlign w:val="center"/>
              </w:tcPr>
              <w:p w:rsidR="00A1695A" w:rsidRDefault="00A1695A" w:rsidP="00B606A2">
                <w:pPr>
                  <w:spacing w:line="360" w:lineRule="auto"/>
                  <w:rPr>
                    <w:u w:val="single"/>
                  </w:rPr>
                </w:pPr>
                <w:r>
                  <w:rPr>
                    <w:rFonts w:ascii="MS Gothic" w:eastAsia="MS Gothic" w:hAnsi="MS Gothic" w:hint="eastAsia"/>
                  </w:rPr>
                  <w:t>☐</w:t>
                </w:r>
              </w:p>
            </w:tc>
          </w:sdtContent>
        </w:sdt>
        <w:tc>
          <w:tcPr>
            <w:tcW w:w="7668" w:type="dxa"/>
            <w:tcBorders>
              <w:top w:val="single" w:sz="4" w:space="0" w:color="auto"/>
              <w:left w:val="single" w:sz="4" w:space="0" w:color="auto"/>
              <w:bottom w:val="single" w:sz="4" w:space="0" w:color="auto"/>
            </w:tcBorders>
            <w:vAlign w:val="center"/>
          </w:tcPr>
          <w:p w:rsidR="00A1695A" w:rsidRPr="00D50317" w:rsidRDefault="00F94B24" w:rsidP="00F94B24">
            <w:pPr>
              <w:spacing w:line="360" w:lineRule="auto"/>
            </w:pPr>
            <w:r>
              <w:t xml:space="preserve">Identify relevant patient-specific education resources for patient through </w:t>
            </w:r>
            <w:proofErr w:type="spellStart"/>
            <w:r>
              <w:t>Infobutton</w:t>
            </w:r>
            <w:proofErr w:type="spellEnd"/>
            <w:r>
              <w:t xml:space="preserve"> functionality based on patient’s </w:t>
            </w:r>
            <w:r>
              <w:rPr>
                <w:b/>
              </w:rPr>
              <w:t>Medication List</w:t>
            </w:r>
          </w:p>
        </w:tc>
      </w:tr>
      <w:tr w:rsidR="000663BE" w:rsidTr="00896D77">
        <w:sdt>
          <w:sdtPr>
            <w:id w:val="210003726"/>
            <w14:checkbox>
              <w14:checked w14:val="0"/>
              <w14:checkedState w14:val="2612" w14:font="Arial Unicode MS"/>
              <w14:uncheckedState w14:val="2610" w14:font="Arial Unicode MS"/>
            </w14:checkbox>
          </w:sdtPr>
          <w:sdtEndPr/>
          <w:sdtContent>
            <w:tc>
              <w:tcPr>
                <w:tcW w:w="828" w:type="dxa"/>
                <w:tcBorders>
                  <w:top w:val="single" w:sz="4" w:space="0" w:color="auto"/>
                  <w:bottom w:val="single" w:sz="4" w:space="0" w:color="auto"/>
                  <w:right w:val="single" w:sz="4" w:space="0" w:color="auto"/>
                </w:tcBorders>
                <w:vAlign w:val="center"/>
              </w:tcPr>
              <w:p w:rsidR="000663BE" w:rsidRDefault="000663BE" w:rsidP="000663BE">
                <w:pPr>
                  <w:spacing w:line="360" w:lineRule="auto"/>
                  <w:rPr>
                    <w:u w:val="single"/>
                  </w:rPr>
                </w:pPr>
                <w:r>
                  <w:rPr>
                    <w:rFonts w:ascii="MS Gothic" w:eastAsia="MS Gothic" w:hint="eastAsia"/>
                  </w:rPr>
                  <w:t>☐</w:t>
                </w:r>
              </w:p>
            </w:tc>
          </w:sdtContent>
        </w:sdt>
        <w:tc>
          <w:tcPr>
            <w:tcW w:w="7668" w:type="dxa"/>
            <w:tcBorders>
              <w:top w:val="single" w:sz="4" w:space="0" w:color="auto"/>
              <w:left w:val="single" w:sz="4" w:space="0" w:color="auto"/>
              <w:bottom w:val="single" w:sz="4" w:space="0" w:color="auto"/>
            </w:tcBorders>
            <w:vAlign w:val="center"/>
          </w:tcPr>
          <w:p w:rsidR="000663BE" w:rsidRPr="00D50317" w:rsidRDefault="00131472" w:rsidP="000663BE">
            <w:pPr>
              <w:spacing w:line="360" w:lineRule="auto"/>
            </w:pPr>
            <w:r>
              <w:t xml:space="preserve">OPTIONAL: Request patient-specific education resources based on a patient’s preferred </w:t>
            </w:r>
            <w:r w:rsidRPr="00131472">
              <w:t>language</w:t>
            </w:r>
            <w:r w:rsidR="000663BE" w:rsidRPr="00131472">
              <w:t xml:space="preserve"> </w:t>
            </w:r>
            <w:r w:rsidRPr="00131472">
              <w:t>in accordance with</w:t>
            </w:r>
            <w:r>
              <w:rPr>
                <w:b/>
              </w:rPr>
              <w:t xml:space="preserve"> </w:t>
            </w:r>
            <w:r w:rsidR="00B72977">
              <w:rPr>
                <w:b/>
              </w:rPr>
              <w:t>RFC 5646</w:t>
            </w:r>
            <w:r w:rsidR="00B72977" w:rsidRPr="00B72977">
              <w:t xml:space="preserve"> (</w:t>
            </w:r>
            <w:r w:rsidRPr="00B72977">
              <w:t>§</w:t>
            </w:r>
            <w:r>
              <w:t>170.207(g</w:t>
            </w:r>
            <w:proofErr w:type="gramStart"/>
            <w:r>
              <w:t>)(</w:t>
            </w:r>
            <w:proofErr w:type="gramEnd"/>
            <w:r>
              <w:t>2)</w:t>
            </w:r>
            <w:r w:rsidR="00B72977">
              <w:t>)</w:t>
            </w:r>
            <w:r>
              <w:t>.</w:t>
            </w:r>
          </w:p>
        </w:tc>
      </w:tr>
    </w:tbl>
    <w:p w:rsidR="00A1695A" w:rsidRDefault="00A1695A" w:rsidP="00A1695A">
      <w:pPr>
        <w:spacing w:line="360" w:lineRule="auto"/>
        <w:rPr>
          <w:u w:val="single"/>
        </w:rPr>
      </w:pPr>
    </w:p>
    <w:p w:rsidR="00362E3C" w:rsidRDefault="00362E3C" w:rsidP="00362E3C">
      <w:pPr>
        <w:spacing w:line="360" w:lineRule="auto"/>
        <w:rPr>
          <w:color w:val="A6A6A6" w:themeColor="background1" w:themeShade="A6"/>
        </w:rPr>
      </w:pPr>
      <w:r w:rsidRPr="00F118BE">
        <w:rPr>
          <w:color w:val="A6A6A6" w:themeColor="background1" w:themeShade="A6"/>
        </w:rPr>
        <w:t>&lt;INSERT SCREEN SHOT</w:t>
      </w:r>
      <w:r w:rsidR="00B93D7E">
        <w:rPr>
          <w:color w:val="A6A6A6" w:themeColor="background1" w:themeShade="A6"/>
        </w:rPr>
        <w:t>S</w:t>
      </w:r>
      <w:r w:rsidRPr="00F118BE">
        <w:rPr>
          <w:color w:val="A6A6A6" w:themeColor="background1" w:themeShade="A6"/>
        </w:rPr>
        <w:t>&gt;</w:t>
      </w:r>
    </w:p>
    <w:p w:rsidR="000663BE" w:rsidRDefault="000663BE" w:rsidP="00362E3C">
      <w:pPr>
        <w:spacing w:line="360" w:lineRule="auto"/>
        <w:rPr>
          <w:color w:val="A6A6A6" w:themeColor="background1" w:themeShade="A6"/>
        </w:rPr>
      </w:pPr>
    </w:p>
    <w:p w:rsidR="000663BE" w:rsidRDefault="000663BE" w:rsidP="00362E3C">
      <w:pPr>
        <w:spacing w:line="360" w:lineRule="auto"/>
        <w:rPr>
          <w:color w:val="A6A6A6" w:themeColor="background1" w:themeShade="A6"/>
        </w:rPr>
      </w:pPr>
    </w:p>
    <w:p w:rsidR="000663BE" w:rsidRDefault="000663BE" w:rsidP="00362E3C">
      <w:pPr>
        <w:spacing w:line="360" w:lineRule="auto"/>
        <w:rPr>
          <w:color w:val="A6A6A6" w:themeColor="background1" w:themeShade="A6"/>
        </w:rPr>
      </w:pPr>
    </w:p>
    <w:p w:rsidR="00123161" w:rsidRDefault="00123161" w:rsidP="00362E3C">
      <w:pPr>
        <w:spacing w:line="360" w:lineRule="auto"/>
        <w:rPr>
          <w:color w:val="A6A6A6" w:themeColor="background1" w:themeShade="A6"/>
        </w:rPr>
      </w:pPr>
    </w:p>
    <w:p w:rsidR="00123161" w:rsidRPr="00123161" w:rsidRDefault="00123161" w:rsidP="00362E3C">
      <w:pPr>
        <w:spacing w:line="360" w:lineRule="auto"/>
        <w:rPr>
          <w:rFonts w:ascii="Leelawadee" w:hAnsi="Leelawadee" w:cs="Leelawadee"/>
          <w:color w:val="A6A6A6" w:themeColor="background1" w:themeShade="A6"/>
        </w:rPr>
      </w:pPr>
    </w:p>
    <w:p w:rsidR="00123161" w:rsidRDefault="00123161" w:rsidP="00123161">
      <w:r>
        <w:br w:type="page"/>
      </w:r>
    </w:p>
    <w:p w:rsidR="00362E3C" w:rsidRDefault="00362E3C" w:rsidP="00362E3C">
      <w:pPr>
        <w:pStyle w:val="Heading1"/>
      </w:pPr>
      <w:bookmarkStart w:id="8" w:name="_Appendix_A:_Testing"/>
      <w:bookmarkStart w:id="9" w:name="_Toc432066410"/>
      <w:bookmarkEnd w:id="8"/>
      <w:r>
        <w:lastRenderedPageBreak/>
        <w:t>Appendix A: Testing Guide</w:t>
      </w:r>
      <w:bookmarkEnd w:id="9"/>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362E3C" w:rsidRDefault="00362E3C" w:rsidP="00362E3C"/>
    <w:p w:rsidR="00362E3C" w:rsidRDefault="00E066E8" w:rsidP="00362E3C">
      <w:r>
        <w:t>Rev 01</w:t>
      </w:r>
      <w:r w:rsidR="007E5688">
        <w:t>-</w:t>
      </w:r>
      <w:r w:rsidR="00FC5A6A">
        <w:t>Ma</w:t>
      </w:r>
      <w:r w:rsidR="00D33C1D">
        <w:t>y</w:t>
      </w:r>
      <w:r>
        <w:t>-2016</w:t>
      </w:r>
      <w:r w:rsidR="00362E3C">
        <w:t xml:space="preserve"> Additions</w:t>
      </w:r>
    </w:p>
    <w:p w:rsidR="00A02A79" w:rsidRPr="00A02A79" w:rsidRDefault="00D33C1D" w:rsidP="0050552B">
      <w:pPr>
        <w:pStyle w:val="wysiwyg-indent4"/>
        <w:numPr>
          <w:ilvl w:val="0"/>
          <w:numId w:val="30"/>
        </w:numPr>
        <w:rPr>
          <w:i/>
        </w:rPr>
      </w:pPr>
      <w:r w:rsidRPr="00D33C1D">
        <w:t xml:space="preserve">CMS </w:t>
      </w:r>
      <w:r>
        <w:t>is not permitting</w:t>
      </w:r>
      <w:r w:rsidRPr="00D33C1D">
        <w:t xml:space="preserve"> paper-based education for Stage 3.  </w:t>
      </w:r>
      <w:r w:rsidRPr="00A02A79">
        <w:t>CMS excerpt</w:t>
      </w:r>
      <w:r w:rsidR="00A02A79">
        <w:t xml:space="preserve"> reads</w:t>
      </w:r>
      <w:r w:rsidRPr="00A02A79">
        <w:t>:</w:t>
      </w:r>
      <w:r w:rsidRPr="00A02A79">
        <w:rPr>
          <w:i/>
        </w:rPr>
        <w:t xml:space="preserve"> </w:t>
      </w:r>
    </w:p>
    <w:p w:rsidR="00D33C1D" w:rsidRPr="00D33C1D" w:rsidRDefault="00D33C1D" w:rsidP="00D33C1D">
      <w:pPr>
        <w:pStyle w:val="wysiwyg-indent4"/>
        <w:ind w:left="720"/>
        <w:rPr>
          <w:color w:val="0A0A0A"/>
          <w:sz w:val="22"/>
          <w:szCs w:val="22"/>
        </w:rPr>
      </w:pPr>
      <w:r w:rsidRPr="00D33C1D">
        <w:rPr>
          <w:rStyle w:val="Emphasis"/>
          <w:color w:val="000000"/>
          <w:sz w:val="22"/>
          <w:szCs w:val="22"/>
        </w:rPr>
        <w:t>We are simply no longer requiring or allowing paper-based actions to be counted because the EHR Incentive Programs focuses on leveraging health IT to support patient engagement… This does not imply that we do not support the continued use of paper-based materials in a practice setting. We strongly recommend that providers continue to provide patients with visit summaries, patient health information, and preventative care recommendations in the format that is most relevant for each individual patient and easiest for that patient to access. …  After consideration of the public comments, we are finalizing our proposal that paper-based formats will not be required or allowed for the purposes of the objectives and measures for Stage 3 of meaningful use.</w:t>
      </w:r>
    </w:p>
    <w:p w:rsidR="000663BE" w:rsidRDefault="000663BE" w:rsidP="00CB7C2F">
      <w:pPr>
        <w:pStyle w:val="ListParagraph"/>
      </w:pPr>
    </w:p>
    <w:p w:rsidR="00362E3C" w:rsidRDefault="00362E3C" w:rsidP="00362E3C"/>
    <w:p w:rsidR="000663BE" w:rsidRDefault="000663BE" w:rsidP="00362E3C"/>
    <w:p w:rsidR="000663BE" w:rsidRDefault="000663BE" w:rsidP="00362E3C"/>
    <w:p w:rsidR="000663BE" w:rsidRDefault="000663BE" w:rsidP="00362E3C"/>
    <w:p w:rsidR="00DC0225" w:rsidRDefault="00DC0225" w:rsidP="00362E3C"/>
    <w:p w:rsidR="00DC0225" w:rsidRDefault="00DC0225" w:rsidP="00362E3C"/>
    <w:p w:rsidR="00DC0225" w:rsidRDefault="00DC0225" w:rsidP="00362E3C"/>
    <w:p w:rsidR="00DC0225" w:rsidRDefault="00DC0225" w:rsidP="00362E3C"/>
    <w:p w:rsidR="00DC0225" w:rsidRDefault="00DC0225" w:rsidP="00362E3C"/>
    <w:p w:rsidR="00DC0225" w:rsidRDefault="00DC0225" w:rsidP="00362E3C"/>
    <w:p w:rsidR="00DC0225" w:rsidRDefault="00DC0225" w:rsidP="00362E3C"/>
    <w:p w:rsidR="008102EA" w:rsidRDefault="008102EA" w:rsidP="00362E3C"/>
    <w:p w:rsidR="008102EA" w:rsidRDefault="008102EA" w:rsidP="00362E3C"/>
    <w:p w:rsidR="008102EA" w:rsidRDefault="008102EA" w:rsidP="00362E3C"/>
    <w:p w:rsidR="008102EA" w:rsidRDefault="008102EA" w:rsidP="00362E3C"/>
    <w:p w:rsidR="008102EA" w:rsidRDefault="008102EA" w:rsidP="00362E3C"/>
    <w:p w:rsidR="00DC0225" w:rsidRDefault="00DC0225" w:rsidP="00362E3C"/>
    <w:p w:rsidR="00E066E8" w:rsidRDefault="00E066E8" w:rsidP="00362E3C">
      <w:pPr>
        <w:pStyle w:val="Heading1"/>
      </w:pPr>
      <w:bookmarkStart w:id="10" w:name="_Toc432066411"/>
    </w:p>
    <w:p w:rsidR="00C832B1" w:rsidRDefault="00C832B1" w:rsidP="00C832B1"/>
    <w:p w:rsidR="00C832B1" w:rsidRDefault="00C832B1" w:rsidP="00C832B1"/>
    <w:p w:rsidR="00C832B1" w:rsidRDefault="00C832B1" w:rsidP="00C832B1"/>
    <w:p w:rsidR="00362E3C" w:rsidRDefault="00362E3C" w:rsidP="00362E3C">
      <w:pPr>
        <w:pStyle w:val="Heading1"/>
      </w:pPr>
      <w:bookmarkStart w:id="11" w:name="_Appendix_B:_ONC"/>
      <w:bookmarkEnd w:id="11"/>
      <w:r>
        <w:lastRenderedPageBreak/>
        <w:t>Appendix B: ONC Criteria and Standards</w:t>
      </w:r>
      <w:bookmarkEnd w:id="10"/>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09560A" w:rsidRDefault="0009560A" w:rsidP="00474E2A"/>
    <w:p w:rsidR="0014632F" w:rsidRDefault="0014632F" w:rsidP="0014632F">
      <w:pPr>
        <w:rPr>
          <w:b/>
        </w:rPr>
      </w:pPr>
      <w:r>
        <w:rPr>
          <w:b/>
        </w:rPr>
        <w:t>§170.315(a</w:t>
      </w:r>
      <w:proofErr w:type="gramStart"/>
      <w:r>
        <w:rPr>
          <w:b/>
        </w:rPr>
        <w:t>)(</w:t>
      </w:r>
      <w:proofErr w:type="gramEnd"/>
      <w:r>
        <w:rPr>
          <w:b/>
        </w:rPr>
        <w:t>13</w:t>
      </w:r>
      <w:r w:rsidRPr="007D3617">
        <w:rPr>
          <w:b/>
        </w:rPr>
        <w:t xml:space="preserve">) </w:t>
      </w:r>
      <w:r>
        <w:rPr>
          <w:b/>
        </w:rPr>
        <w:t>Patient-Specific Education Resources</w:t>
      </w:r>
    </w:p>
    <w:p w:rsidR="0014632F" w:rsidRDefault="0014632F" w:rsidP="0014632F">
      <w:pPr>
        <w:ind w:left="1440"/>
      </w:pPr>
      <w:r>
        <w:t>(</w:t>
      </w:r>
      <w:proofErr w:type="spellStart"/>
      <w:r>
        <w:t>i</w:t>
      </w:r>
      <w:proofErr w:type="spellEnd"/>
      <w:r>
        <w:t>) Identify patient-specific education resources based on data included in the patient’s problem list and medication list in accordance with at least one of the following standards and implementation specifications:</w:t>
      </w:r>
    </w:p>
    <w:p w:rsidR="0014632F" w:rsidRDefault="0014632F" w:rsidP="0014632F">
      <w:pPr>
        <w:pStyle w:val="ListParagraph"/>
        <w:numPr>
          <w:ilvl w:val="0"/>
          <w:numId w:val="38"/>
        </w:numPr>
      </w:pPr>
      <w:r>
        <w:t>The standard and implementation specifications specified in §170.204(b)(3)</w:t>
      </w:r>
    </w:p>
    <w:p w:rsidR="0014632F" w:rsidRDefault="0014632F" w:rsidP="0014632F">
      <w:pPr>
        <w:pStyle w:val="ListParagraph"/>
        <w:numPr>
          <w:ilvl w:val="0"/>
          <w:numId w:val="38"/>
        </w:numPr>
      </w:pPr>
      <w:r>
        <w:t>The standard and implementation specifications specified in §170.204(b)(4)</w:t>
      </w:r>
    </w:p>
    <w:p w:rsidR="0014632F" w:rsidRDefault="0014632F" w:rsidP="0014632F">
      <w:pPr>
        <w:ind w:left="1440"/>
      </w:pPr>
      <w:r>
        <w:t>(ii) Optional.  Request that patient-specific education resources be identified in accordance with the standard in §170.207(g</w:t>
      </w:r>
      <w:proofErr w:type="gramStart"/>
      <w:r>
        <w:t>)(</w:t>
      </w:r>
      <w:proofErr w:type="gramEnd"/>
      <w:r>
        <w:t>2).</w:t>
      </w:r>
    </w:p>
    <w:p w:rsidR="0014632F" w:rsidRDefault="0014632F" w:rsidP="0014632F">
      <w:pPr>
        <w:pStyle w:val="ListParagraph"/>
        <w:ind w:left="2880"/>
      </w:pPr>
    </w:p>
    <w:p w:rsidR="0014632F" w:rsidRDefault="0014632F" w:rsidP="0014632F">
      <w:pPr>
        <w:rPr>
          <w:rFonts w:ascii="TimesNewRoman" w:hAnsi="TimesNewRoman" w:cs="TimesNewRoman"/>
        </w:rPr>
      </w:pPr>
      <w:r>
        <w:rPr>
          <w:b/>
        </w:rPr>
        <w:t>§170.204(b</w:t>
      </w:r>
      <w:proofErr w:type="gramStart"/>
      <w:r>
        <w:rPr>
          <w:b/>
        </w:rPr>
        <w:t>)(</w:t>
      </w:r>
      <w:proofErr w:type="gramEnd"/>
      <w:r>
        <w:rPr>
          <w:b/>
        </w:rPr>
        <w:t xml:space="preserve">3) </w:t>
      </w:r>
      <w:r w:rsidRPr="007A6907">
        <w:rPr>
          <w:u w:val="single"/>
        </w:rPr>
        <w:t>Standard</w:t>
      </w:r>
      <w:r w:rsidRPr="007A6907">
        <w:t>.</w:t>
      </w:r>
      <w:r w:rsidRPr="0085686F">
        <w:rPr>
          <w:rFonts w:ascii="TimesNewRoman" w:hAnsi="TimesNewRoman" w:cs="TimesNewRoman"/>
        </w:rPr>
        <w:t xml:space="preserve"> </w:t>
      </w:r>
      <w:r>
        <w:rPr>
          <w:rFonts w:ascii="TimesNewRoman" w:hAnsi="TimesNewRoman" w:cs="TimesNewRoman"/>
        </w:rPr>
        <w:t xml:space="preserve">HL7 Version 3 Standard: Context Aware Knowledge Retrieval   </w:t>
      </w:r>
    </w:p>
    <w:p w:rsidR="0014632F" w:rsidRDefault="0014632F" w:rsidP="0014632F">
      <w:pPr>
        <w:ind w:left="720"/>
      </w:pPr>
      <w:r>
        <w:rPr>
          <w:rFonts w:ascii="TimesNewRoman" w:hAnsi="TimesNewRoman" w:cs="TimesNewRoman"/>
        </w:rPr>
        <w:t>Application. (“</w:t>
      </w:r>
      <w:proofErr w:type="spellStart"/>
      <w:r>
        <w:rPr>
          <w:rFonts w:ascii="TimesNewRoman" w:hAnsi="TimesNewRoman" w:cs="TimesNewRoman"/>
        </w:rPr>
        <w:t>Infobutton</w:t>
      </w:r>
      <w:proofErr w:type="spellEnd"/>
      <w:r>
        <w:rPr>
          <w:rFonts w:ascii="TimesNewRoman" w:hAnsi="TimesNewRoman" w:cs="TimesNewRoman"/>
        </w:rPr>
        <w:t xml:space="preserve">”), Knowledge Request, Release 2.  </w:t>
      </w:r>
      <w:r w:rsidRPr="0085686F">
        <w:rPr>
          <w:u w:val="single"/>
        </w:rPr>
        <w:t>Implementation specifications</w:t>
      </w:r>
      <w:r w:rsidRPr="0085686F">
        <w:t>.</w:t>
      </w:r>
      <w:r>
        <w:t xml:space="preserve">  HL7 Implementation Guide: </w:t>
      </w:r>
      <w:r w:rsidRPr="0085686F">
        <w:t>Service-Orien</w:t>
      </w:r>
      <w:r>
        <w:t>ted Architecture Implementations of the Context-aware Knowledge Retrieval (</w:t>
      </w:r>
      <w:proofErr w:type="spellStart"/>
      <w:r>
        <w:t>Infobutton</w:t>
      </w:r>
      <w:proofErr w:type="spellEnd"/>
      <w:r>
        <w:t>) Domain, Release 1.</w:t>
      </w:r>
    </w:p>
    <w:p w:rsidR="0014632F" w:rsidRDefault="0014632F" w:rsidP="0014632F"/>
    <w:p w:rsidR="0014632F" w:rsidRDefault="0014632F" w:rsidP="0014632F">
      <w:pPr>
        <w:rPr>
          <w:rFonts w:ascii="TimesNewRoman" w:hAnsi="TimesNewRoman" w:cs="TimesNewRoman"/>
        </w:rPr>
      </w:pPr>
      <w:r>
        <w:rPr>
          <w:b/>
        </w:rPr>
        <w:t>§170.204(b</w:t>
      </w:r>
      <w:proofErr w:type="gramStart"/>
      <w:r>
        <w:rPr>
          <w:b/>
        </w:rPr>
        <w:t>)(</w:t>
      </w:r>
      <w:proofErr w:type="gramEnd"/>
      <w:r>
        <w:rPr>
          <w:b/>
        </w:rPr>
        <w:t xml:space="preserve">4) </w:t>
      </w:r>
      <w:r w:rsidRPr="007A6907">
        <w:rPr>
          <w:u w:val="single"/>
        </w:rPr>
        <w:t>Standard</w:t>
      </w:r>
      <w:r w:rsidRPr="007A6907">
        <w:t>.</w:t>
      </w:r>
      <w:r w:rsidRPr="0085686F">
        <w:rPr>
          <w:rFonts w:ascii="TimesNewRoman" w:hAnsi="TimesNewRoman" w:cs="TimesNewRoman"/>
        </w:rPr>
        <w:t xml:space="preserve"> </w:t>
      </w:r>
      <w:r>
        <w:rPr>
          <w:rFonts w:ascii="TimesNewRoman" w:hAnsi="TimesNewRoman" w:cs="TimesNewRoman"/>
        </w:rPr>
        <w:t xml:space="preserve">HL7 Version 3 Standard: Context Aware Knowledge Retrieval   </w:t>
      </w:r>
    </w:p>
    <w:p w:rsidR="0014632F" w:rsidRDefault="0014632F" w:rsidP="0014632F">
      <w:pPr>
        <w:ind w:left="720"/>
      </w:pPr>
      <w:r>
        <w:rPr>
          <w:rFonts w:ascii="TimesNewRoman" w:hAnsi="TimesNewRoman" w:cs="TimesNewRoman"/>
        </w:rPr>
        <w:t>Application. (“</w:t>
      </w:r>
      <w:proofErr w:type="spellStart"/>
      <w:r>
        <w:rPr>
          <w:rFonts w:ascii="TimesNewRoman" w:hAnsi="TimesNewRoman" w:cs="TimesNewRoman"/>
        </w:rPr>
        <w:t>Infobutton</w:t>
      </w:r>
      <w:proofErr w:type="spellEnd"/>
      <w:r>
        <w:rPr>
          <w:rFonts w:ascii="TimesNewRoman" w:hAnsi="TimesNewRoman" w:cs="TimesNewRoman"/>
        </w:rPr>
        <w:t xml:space="preserve">”), Knowledge Request, Release 2.  </w:t>
      </w:r>
      <w:r w:rsidRPr="0085686F">
        <w:rPr>
          <w:u w:val="single"/>
        </w:rPr>
        <w:t>Implementation specifications</w:t>
      </w:r>
      <w:r w:rsidRPr="0085686F">
        <w:t>.</w:t>
      </w:r>
      <w:r>
        <w:t xml:space="preserve">  HL7 Version 3 Implementation Guide: </w:t>
      </w:r>
      <w:r w:rsidRPr="0085686F">
        <w:t>Context-Aware K</w:t>
      </w:r>
      <w:r>
        <w:t>nowledge Retrieval (</w:t>
      </w:r>
      <w:proofErr w:type="spellStart"/>
      <w:r>
        <w:t>Infobutton</w:t>
      </w:r>
      <w:proofErr w:type="spellEnd"/>
      <w:r>
        <w:t>), Release 4.</w:t>
      </w:r>
    </w:p>
    <w:p w:rsidR="0014632F" w:rsidRDefault="0014632F" w:rsidP="0014632F"/>
    <w:p w:rsidR="0014632F" w:rsidRDefault="0014632F" w:rsidP="0014632F">
      <w:pPr>
        <w:rPr>
          <w:rStyle w:val="p1"/>
        </w:rPr>
      </w:pPr>
      <w:r>
        <w:rPr>
          <w:b/>
        </w:rPr>
        <w:t>§170.207(g</w:t>
      </w:r>
      <w:proofErr w:type="gramStart"/>
      <w:r>
        <w:rPr>
          <w:b/>
        </w:rPr>
        <w:t>)(</w:t>
      </w:r>
      <w:proofErr w:type="gramEnd"/>
      <w:r>
        <w:rPr>
          <w:b/>
        </w:rPr>
        <w:t xml:space="preserve">2) </w:t>
      </w:r>
      <w:r w:rsidRPr="0009496E">
        <w:rPr>
          <w:rFonts w:ascii="TimesNewRoman" w:hAnsi="TimesNewRoman" w:cs="TimesNewRoman"/>
        </w:rPr>
        <w:t>Preferred language. Standard. </w:t>
      </w:r>
      <w:r>
        <w:rPr>
          <w:rStyle w:val="e-031"/>
        </w:rPr>
        <w:t xml:space="preserve"> </w:t>
      </w:r>
      <w:r>
        <w:rPr>
          <w:rStyle w:val="p1"/>
          <w:specVanish w:val="0"/>
        </w:rPr>
        <w:t>Request for Comments (RFC) 5646.</w:t>
      </w:r>
    </w:p>
    <w:p w:rsidR="0014632F" w:rsidRDefault="0014632F" w:rsidP="0014632F">
      <w:pPr>
        <w:rPr>
          <w:rStyle w:val="p1"/>
        </w:rPr>
      </w:pPr>
    </w:p>
    <w:p w:rsidR="0014632F" w:rsidRDefault="0014632F" w:rsidP="0014632F">
      <w:pPr>
        <w:rPr>
          <w:rStyle w:val="p1"/>
        </w:rPr>
      </w:pPr>
    </w:p>
    <w:p w:rsidR="0014632F" w:rsidRDefault="0014632F" w:rsidP="0014632F">
      <w:pPr>
        <w:rPr>
          <w:rStyle w:val="p1"/>
        </w:rPr>
      </w:pPr>
    </w:p>
    <w:p w:rsidR="0014632F" w:rsidRDefault="0014632F" w:rsidP="0014632F">
      <w:pPr>
        <w:rPr>
          <w:rStyle w:val="p1"/>
        </w:rPr>
      </w:pPr>
    </w:p>
    <w:p w:rsidR="0014632F" w:rsidRDefault="0014632F" w:rsidP="0014632F">
      <w:pPr>
        <w:rPr>
          <w:rStyle w:val="p1"/>
        </w:rPr>
      </w:pPr>
    </w:p>
    <w:p w:rsidR="0014632F" w:rsidRDefault="0014632F" w:rsidP="0014632F">
      <w:pPr>
        <w:rPr>
          <w:rStyle w:val="p1"/>
        </w:rPr>
      </w:pPr>
    </w:p>
    <w:p w:rsidR="0014632F" w:rsidRDefault="0014632F" w:rsidP="0014632F">
      <w:pPr>
        <w:rPr>
          <w:rStyle w:val="p1"/>
        </w:rPr>
      </w:pPr>
    </w:p>
    <w:p w:rsidR="0014632F" w:rsidRDefault="0014632F" w:rsidP="0014632F">
      <w:pPr>
        <w:rPr>
          <w:rStyle w:val="p1"/>
        </w:rPr>
      </w:pPr>
    </w:p>
    <w:p w:rsidR="0014632F" w:rsidRDefault="0014632F" w:rsidP="0014632F">
      <w:pPr>
        <w:rPr>
          <w:rStyle w:val="p1"/>
        </w:rPr>
      </w:pPr>
    </w:p>
    <w:p w:rsidR="0014632F" w:rsidRDefault="0014632F" w:rsidP="0014632F">
      <w:pPr>
        <w:rPr>
          <w:rStyle w:val="p1"/>
        </w:rPr>
      </w:pPr>
    </w:p>
    <w:p w:rsidR="0014632F" w:rsidRDefault="0014632F" w:rsidP="0014632F">
      <w:pPr>
        <w:rPr>
          <w:rStyle w:val="p1"/>
        </w:rPr>
      </w:pPr>
    </w:p>
    <w:p w:rsidR="00362E3C" w:rsidRDefault="00362E3C" w:rsidP="00362E3C">
      <w:pPr>
        <w:pStyle w:val="Heading1"/>
      </w:pPr>
      <w:bookmarkStart w:id="12" w:name="_Toc432066412"/>
      <w:bookmarkEnd w:id="2"/>
      <w:r>
        <w:lastRenderedPageBreak/>
        <w:t>Change Log</w:t>
      </w:r>
      <w:bookmarkEnd w:id="12"/>
    </w:p>
    <w:tbl>
      <w:tblPr>
        <w:tblStyle w:val="TableGrid"/>
        <w:tblW w:w="0" w:type="auto"/>
        <w:tblLook w:val="04A0" w:firstRow="1" w:lastRow="0" w:firstColumn="1" w:lastColumn="0" w:noHBand="0" w:noVBand="1"/>
      </w:tblPr>
      <w:tblGrid>
        <w:gridCol w:w="2052"/>
        <w:gridCol w:w="6578"/>
      </w:tblGrid>
      <w:tr w:rsidR="00362E3C" w:rsidTr="00674E48">
        <w:tc>
          <w:tcPr>
            <w:tcW w:w="2052" w:type="dxa"/>
          </w:tcPr>
          <w:p w:rsidR="00362E3C" w:rsidRDefault="00362E3C" w:rsidP="004A3AA7">
            <w:r>
              <w:t>Revision</w:t>
            </w:r>
          </w:p>
        </w:tc>
        <w:tc>
          <w:tcPr>
            <w:tcW w:w="6578" w:type="dxa"/>
          </w:tcPr>
          <w:p w:rsidR="00362E3C" w:rsidRDefault="00362E3C" w:rsidP="004A3AA7">
            <w:r>
              <w:t>Change Description</w:t>
            </w:r>
          </w:p>
        </w:tc>
      </w:tr>
      <w:tr w:rsidR="00362E3C" w:rsidTr="00674E48">
        <w:trPr>
          <w:trHeight w:val="323"/>
        </w:trPr>
        <w:tc>
          <w:tcPr>
            <w:tcW w:w="2052" w:type="dxa"/>
          </w:tcPr>
          <w:p w:rsidR="00362E3C" w:rsidRDefault="00582960" w:rsidP="006D0ED3">
            <w:r>
              <w:t>01-May-2016</w:t>
            </w:r>
          </w:p>
        </w:tc>
        <w:tc>
          <w:tcPr>
            <w:tcW w:w="6578" w:type="dxa"/>
          </w:tcPr>
          <w:p w:rsidR="00362E3C" w:rsidRDefault="00413F99" w:rsidP="00413F99">
            <w:r>
              <w:t xml:space="preserve">Corrected </w:t>
            </w:r>
            <w:r w:rsidR="00582960">
              <w:t xml:space="preserve">note under Appendix A </w:t>
            </w:r>
            <w:r>
              <w:t xml:space="preserve">clarifying that CMS is not </w:t>
            </w:r>
            <w:r w:rsidR="00582960">
              <w:t>permitting paper-based</w:t>
            </w:r>
            <w:r>
              <w:t xml:space="preserve"> actions for patient-specific education.</w:t>
            </w:r>
            <w:r w:rsidR="00406B26">
              <w:t xml:space="preserve">  Also added under “Points to Remember”.</w:t>
            </w:r>
          </w:p>
        </w:tc>
      </w:tr>
      <w:tr w:rsidR="00582960" w:rsidTr="00674E48">
        <w:tc>
          <w:tcPr>
            <w:tcW w:w="2052" w:type="dxa"/>
          </w:tcPr>
          <w:p w:rsidR="00582960" w:rsidRDefault="00582960" w:rsidP="00582960">
            <w:r>
              <w:t>01-Apr-2016</w:t>
            </w:r>
          </w:p>
        </w:tc>
        <w:tc>
          <w:tcPr>
            <w:tcW w:w="6578" w:type="dxa"/>
          </w:tcPr>
          <w:p w:rsidR="00582960" w:rsidRDefault="00582960" w:rsidP="00582960">
            <w:r>
              <w:t>Removed Lab Results as a requirement for Patient Education.</w:t>
            </w:r>
          </w:p>
        </w:tc>
      </w:tr>
      <w:tr w:rsidR="00582960" w:rsidTr="00674E48">
        <w:tc>
          <w:tcPr>
            <w:tcW w:w="2052" w:type="dxa"/>
          </w:tcPr>
          <w:p w:rsidR="00582960" w:rsidRDefault="00582960" w:rsidP="00582960">
            <w:r>
              <w:t>01-Mar-2016</w:t>
            </w:r>
          </w:p>
        </w:tc>
        <w:tc>
          <w:tcPr>
            <w:tcW w:w="6578" w:type="dxa"/>
          </w:tcPr>
          <w:p w:rsidR="00582960" w:rsidRDefault="00582960" w:rsidP="00582960">
            <w:r>
              <w:t>Initial Release.</w:t>
            </w:r>
          </w:p>
        </w:tc>
      </w:tr>
      <w:tr w:rsidR="00582960" w:rsidTr="00674E48">
        <w:tc>
          <w:tcPr>
            <w:tcW w:w="2052" w:type="dxa"/>
          </w:tcPr>
          <w:p w:rsidR="00582960" w:rsidRDefault="00582960" w:rsidP="00582960"/>
        </w:tc>
        <w:tc>
          <w:tcPr>
            <w:tcW w:w="6578" w:type="dxa"/>
          </w:tcPr>
          <w:p w:rsidR="00582960" w:rsidRDefault="00582960" w:rsidP="00582960"/>
        </w:tc>
      </w:tr>
      <w:tr w:rsidR="00582960" w:rsidTr="00674E48">
        <w:tc>
          <w:tcPr>
            <w:tcW w:w="2052" w:type="dxa"/>
          </w:tcPr>
          <w:p w:rsidR="00582960" w:rsidRDefault="00582960" w:rsidP="00582960"/>
        </w:tc>
        <w:tc>
          <w:tcPr>
            <w:tcW w:w="6578" w:type="dxa"/>
          </w:tcPr>
          <w:p w:rsidR="00582960" w:rsidRDefault="00582960" w:rsidP="00582960"/>
        </w:tc>
      </w:tr>
      <w:tr w:rsidR="00582960" w:rsidTr="00674E48">
        <w:tc>
          <w:tcPr>
            <w:tcW w:w="2052" w:type="dxa"/>
          </w:tcPr>
          <w:p w:rsidR="00582960" w:rsidRDefault="00582960" w:rsidP="00582960"/>
        </w:tc>
        <w:tc>
          <w:tcPr>
            <w:tcW w:w="6578" w:type="dxa"/>
          </w:tcPr>
          <w:p w:rsidR="00582960" w:rsidRDefault="00582960" w:rsidP="00582960"/>
        </w:tc>
      </w:tr>
      <w:tr w:rsidR="00582960" w:rsidTr="00674E48">
        <w:tc>
          <w:tcPr>
            <w:tcW w:w="2052" w:type="dxa"/>
          </w:tcPr>
          <w:p w:rsidR="00582960" w:rsidRDefault="00582960" w:rsidP="00582960"/>
        </w:tc>
        <w:tc>
          <w:tcPr>
            <w:tcW w:w="6578" w:type="dxa"/>
          </w:tcPr>
          <w:p w:rsidR="00582960" w:rsidRDefault="00582960" w:rsidP="00582960"/>
        </w:tc>
      </w:tr>
      <w:tr w:rsidR="00582960" w:rsidTr="00674E48">
        <w:tc>
          <w:tcPr>
            <w:tcW w:w="2052" w:type="dxa"/>
          </w:tcPr>
          <w:p w:rsidR="00582960" w:rsidRDefault="00582960" w:rsidP="00582960"/>
        </w:tc>
        <w:tc>
          <w:tcPr>
            <w:tcW w:w="6578" w:type="dxa"/>
          </w:tcPr>
          <w:p w:rsidR="00582960" w:rsidRDefault="00582960" w:rsidP="00582960"/>
        </w:tc>
      </w:tr>
    </w:tbl>
    <w:p w:rsidR="00362E3C" w:rsidRPr="00EB79BD" w:rsidRDefault="00362E3C" w:rsidP="00362E3C"/>
    <w:p w:rsidR="00362E3C" w:rsidRDefault="00362E3C" w:rsidP="00362E3C"/>
    <w:p w:rsidR="00362E3C" w:rsidRDefault="00362E3C" w:rsidP="00362E3C">
      <w:pPr>
        <w:pStyle w:val="Heading1"/>
      </w:pPr>
      <w:r>
        <w:br w:type="page"/>
      </w:r>
    </w:p>
    <w:p w:rsidR="000A4D9A" w:rsidRDefault="000A4D9A" w:rsidP="000A4D9A">
      <w:pPr>
        <w:rPr>
          <w:rFonts w:ascii="Calibri" w:hAnsi="Calibri"/>
          <w:sz w:val="22"/>
          <w:szCs w:val="22"/>
        </w:rPr>
      </w:pPr>
      <w:r>
        <w:rPr>
          <w:rFonts w:ascii="Calibri" w:hAnsi="Calibri"/>
          <w:b/>
          <w:bCs/>
          <w:sz w:val="22"/>
          <w:szCs w:val="22"/>
        </w:rPr>
        <w:lastRenderedPageBreak/>
        <w:t>About Drummond Group LLC</w:t>
      </w:r>
    </w:p>
    <w:p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082A57">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2"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3"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4"/>
      <w:headerReference w:type="default" r:id="rId15"/>
      <w:footerReference w:type="default" r:id="rId16"/>
      <w:head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3C9" w:rsidRDefault="00B803C9">
      <w:r>
        <w:separator/>
      </w:r>
    </w:p>
  </w:endnote>
  <w:endnote w:type="continuationSeparator" w:id="0">
    <w:p w:rsidR="00B803C9" w:rsidRDefault="00B80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eelawadee">
    <w:altName w:val="Segoe UI"/>
    <w:panose1 w:val="020B0502040204020203"/>
    <w:charset w:val="00"/>
    <w:family w:val="roman"/>
    <w:notTrueType/>
    <w:pitch w:val="default"/>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ED3" w:rsidRDefault="006D0ED3" w:rsidP="006D0ED3">
    <w:pPr>
      <w:pStyle w:val="Footer"/>
      <w:jc w:val="right"/>
      <w:rPr>
        <w:b/>
        <w:color w:val="000000"/>
        <w:sz w:val="16"/>
        <w:szCs w:val="16"/>
      </w:rPr>
    </w:pPr>
    <w:r>
      <w:rPr>
        <w:b/>
        <w:color w:val="000000"/>
        <w:sz w:val="16"/>
        <w:szCs w:val="16"/>
      </w:rPr>
      <w:t>Rev.: 01</w:t>
    </w:r>
    <w:r w:rsidR="00582960">
      <w:rPr>
        <w:b/>
        <w:color w:val="000000"/>
        <w:sz w:val="16"/>
        <w:szCs w:val="16"/>
      </w:rPr>
      <w:t>May</w:t>
    </w:r>
    <w:r>
      <w:rPr>
        <w:b/>
        <w:color w:val="000000"/>
        <w:sz w:val="16"/>
        <w:szCs w:val="16"/>
      </w:rPr>
      <w:t>2016</w:t>
    </w:r>
  </w:p>
  <w:p w:rsidR="006D0ED3" w:rsidRDefault="006D0ED3" w:rsidP="006D0ED3">
    <w:pPr>
      <w:pStyle w:val="Footer"/>
      <w:jc w:val="right"/>
      <w:rPr>
        <w:b/>
        <w:color w:val="000000"/>
        <w:sz w:val="16"/>
        <w:szCs w:val="16"/>
      </w:rPr>
    </w:pPr>
    <w:r>
      <w:rPr>
        <w:b/>
        <w:color w:val="000000"/>
        <w:sz w:val="16"/>
        <w:szCs w:val="16"/>
      </w:rPr>
      <w:t>EHR Test-155</w:t>
    </w:r>
  </w:p>
  <w:p w:rsidR="00CA5473" w:rsidRDefault="00CA5473"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967728">
      <w:rPr>
        <w:b/>
        <w:noProof/>
        <w:sz w:val="16"/>
        <w:szCs w:val="16"/>
      </w:rPr>
      <w:t>3</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967728">
      <w:rPr>
        <w:b/>
        <w:noProof/>
        <w:sz w:val="16"/>
        <w:szCs w:val="16"/>
      </w:rPr>
      <w:t>10</w:t>
    </w:r>
    <w:r>
      <w:rPr>
        <w:b/>
        <w:sz w:val="16"/>
        <w:szCs w:val="16"/>
      </w:rPr>
      <w:fldChar w:fldCharType="end"/>
    </w:r>
  </w:p>
  <w:p w:rsidR="00D63A5B" w:rsidRPr="00894E8A" w:rsidRDefault="00D63A5B" w:rsidP="00D63A5B">
    <w:pPr>
      <w:jc w:val="center"/>
      <w:rPr>
        <w:sz w:val="20"/>
        <w:szCs w:val="20"/>
      </w:rPr>
    </w:pPr>
    <w:r w:rsidRPr="00894E8A">
      <w:rPr>
        <w:sz w:val="20"/>
        <w:szCs w:val="20"/>
      </w:rPr>
      <w:t>Copyright © 201</w:t>
    </w:r>
    <w:r w:rsidR="00B93D7E">
      <w:rPr>
        <w:sz w:val="20"/>
        <w:szCs w:val="20"/>
      </w:rPr>
      <w:t>6</w:t>
    </w:r>
    <w:r w:rsidRPr="00894E8A">
      <w:rPr>
        <w:sz w:val="20"/>
        <w:szCs w:val="20"/>
      </w:rPr>
      <w:t xml:space="preserve"> Drummond Group </w:t>
    </w:r>
    <w:r w:rsidR="00670062" w:rsidRPr="00894E8A">
      <w:rPr>
        <w:sz w:val="20"/>
        <w:szCs w:val="20"/>
      </w:rPr>
      <w:t>LLC</w:t>
    </w:r>
  </w:p>
  <w:p w:rsidR="006B0544" w:rsidRPr="00894E8A" w:rsidRDefault="00D63A5B" w:rsidP="00D63A5B">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3C9" w:rsidRDefault="00B803C9">
      <w:r>
        <w:separator/>
      </w:r>
    </w:p>
  </w:footnote>
  <w:footnote w:type="continuationSeparator" w:id="0">
    <w:p w:rsidR="00B803C9" w:rsidRDefault="00B803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B803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87A" w:rsidRDefault="00B803C9"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670062">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40387A" w:rsidRPr="00A9582F">
      <w:rPr>
        <w:b/>
        <w:color w:val="000000"/>
        <w:sz w:val="32"/>
        <w:szCs w:val="32"/>
      </w:rPr>
      <w:t xml:space="preserve"> </w:t>
    </w:r>
    <w:r w:rsidR="0040387A">
      <w:rPr>
        <w:b/>
        <w:color w:val="000000"/>
        <w:sz w:val="32"/>
        <w:szCs w:val="32"/>
      </w:rPr>
      <w:tab/>
    </w:r>
    <w:r w:rsidR="0040387A">
      <w:rPr>
        <w:b/>
        <w:color w:val="000000"/>
        <w:sz w:val="32"/>
        <w:szCs w:val="32"/>
      </w:rPr>
      <w:tab/>
      <w:t xml:space="preserve">        </w:t>
    </w:r>
    <w:r w:rsidR="007F73D0">
      <w:rPr>
        <w:b/>
        <w:color w:val="000000"/>
      </w:rPr>
      <w:t>170.31</w:t>
    </w:r>
    <w:r w:rsidR="007B5D79">
      <w:rPr>
        <w:b/>
        <w:color w:val="000000"/>
      </w:rPr>
      <w:t>5</w:t>
    </w:r>
    <w:proofErr w:type="gramStart"/>
    <w:r w:rsidR="007B5D79">
      <w:rPr>
        <w:b/>
        <w:color w:val="000000"/>
      </w:rPr>
      <w:t>.a.</w:t>
    </w:r>
    <w:r w:rsidR="008730F6">
      <w:rPr>
        <w:b/>
        <w:color w:val="000000"/>
      </w:rPr>
      <w:t>13</w:t>
    </w:r>
    <w:proofErr w:type="gramEnd"/>
    <w:r w:rsidR="008730F6">
      <w:rPr>
        <w:b/>
        <w:color w:val="000000"/>
      </w:rPr>
      <w:t xml:space="preserve"> Patient-specific Education</w:t>
    </w:r>
  </w:p>
  <w:p w:rsidR="0040387A" w:rsidRPr="00450818" w:rsidRDefault="0040387A"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B803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B4331"/>
    <w:multiLevelType w:val="hybridMultilevel"/>
    <w:tmpl w:val="DF822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26923"/>
    <w:multiLevelType w:val="hybridMultilevel"/>
    <w:tmpl w:val="4F1C61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067562"/>
    <w:multiLevelType w:val="hybridMultilevel"/>
    <w:tmpl w:val="154A2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881451A"/>
    <w:multiLevelType w:val="hybridMultilevel"/>
    <w:tmpl w:val="8A042D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5206CC6"/>
    <w:multiLevelType w:val="hybridMultilevel"/>
    <w:tmpl w:val="5936C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A40726"/>
    <w:multiLevelType w:val="hybridMultilevel"/>
    <w:tmpl w:val="C406B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E6BC7"/>
    <w:multiLevelType w:val="hybridMultilevel"/>
    <w:tmpl w:val="2364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E387D94"/>
    <w:multiLevelType w:val="hybridMultilevel"/>
    <w:tmpl w:val="9AF8CB4E"/>
    <w:lvl w:ilvl="0" w:tplc="0B9A6914">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44235D7"/>
    <w:multiLevelType w:val="hybridMultilevel"/>
    <w:tmpl w:val="696A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A3E0789"/>
    <w:multiLevelType w:val="hybridMultilevel"/>
    <w:tmpl w:val="6EE4B3D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6"/>
  </w:num>
  <w:num w:numId="2">
    <w:abstractNumId w:val="6"/>
  </w:num>
  <w:num w:numId="3">
    <w:abstractNumId w:val="14"/>
  </w:num>
  <w:num w:numId="4">
    <w:abstractNumId w:val="13"/>
  </w:num>
  <w:num w:numId="5">
    <w:abstractNumId w:val="20"/>
  </w:num>
  <w:num w:numId="6">
    <w:abstractNumId w:val="7"/>
  </w:num>
  <w:num w:numId="7">
    <w:abstractNumId w:val="9"/>
  </w:num>
  <w:num w:numId="8">
    <w:abstractNumId w:val="28"/>
  </w:num>
  <w:num w:numId="9">
    <w:abstractNumId w:val="10"/>
  </w:num>
  <w:num w:numId="10">
    <w:abstractNumId w:val="27"/>
  </w:num>
  <w:num w:numId="11">
    <w:abstractNumId w:val="5"/>
  </w:num>
  <w:num w:numId="12">
    <w:abstractNumId w:val="25"/>
  </w:num>
  <w:num w:numId="13">
    <w:abstractNumId w:val="19"/>
  </w:num>
  <w:num w:numId="14">
    <w:abstractNumId w:val="29"/>
  </w:num>
  <w:num w:numId="15">
    <w:abstractNumId w:val="30"/>
  </w:num>
  <w:num w:numId="16">
    <w:abstractNumId w:val="36"/>
  </w:num>
  <w:num w:numId="17">
    <w:abstractNumId w:val="2"/>
  </w:num>
  <w:num w:numId="18">
    <w:abstractNumId w:val="34"/>
  </w:num>
  <w:num w:numId="19">
    <w:abstractNumId w:val="31"/>
  </w:num>
  <w:num w:numId="20">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3"/>
  </w:num>
  <w:num w:numId="23">
    <w:abstractNumId w:val="23"/>
  </w:num>
  <w:num w:numId="24">
    <w:abstractNumId w:val="21"/>
  </w:num>
  <w:num w:numId="25">
    <w:abstractNumId w:val="22"/>
  </w:num>
  <w:num w:numId="26">
    <w:abstractNumId w:val="37"/>
  </w:num>
  <w:num w:numId="27">
    <w:abstractNumId w:val="26"/>
  </w:num>
  <w:num w:numId="28">
    <w:abstractNumId w:val="35"/>
  </w:num>
  <w:num w:numId="29">
    <w:abstractNumId w:val="18"/>
  </w:num>
  <w:num w:numId="30">
    <w:abstractNumId w:val="11"/>
  </w:num>
  <w:num w:numId="31">
    <w:abstractNumId w:val="4"/>
  </w:num>
  <w:num w:numId="32">
    <w:abstractNumId w:val="1"/>
  </w:num>
  <w:num w:numId="33">
    <w:abstractNumId w:val="32"/>
  </w:num>
  <w:num w:numId="34">
    <w:abstractNumId w:val="8"/>
  </w:num>
  <w:num w:numId="35">
    <w:abstractNumId w:val="15"/>
  </w:num>
  <w:num w:numId="36">
    <w:abstractNumId w:val="17"/>
  </w:num>
  <w:num w:numId="37">
    <w:abstractNumId w:val="0"/>
  </w:num>
  <w:num w:numId="38">
    <w:abstractNumId w:val="24"/>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6967"/>
    <w:rsid w:val="000136BA"/>
    <w:rsid w:val="00017B5D"/>
    <w:rsid w:val="00017ED2"/>
    <w:rsid w:val="00023BE3"/>
    <w:rsid w:val="00027433"/>
    <w:rsid w:val="00031CC0"/>
    <w:rsid w:val="00033396"/>
    <w:rsid w:val="00034A08"/>
    <w:rsid w:val="0003750C"/>
    <w:rsid w:val="0004290B"/>
    <w:rsid w:val="000449FC"/>
    <w:rsid w:val="000466CB"/>
    <w:rsid w:val="00046795"/>
    <w:rsid w:val="00050263"/>
    <w:rsid w:val="00050F36"/>
    <w:rsid w:val="000545E6"/>
    <w:rsid w:val="00055538"/>
    <w:rsid w:val="00055576"/>
    <w:rsid w:val="00062EDB"/>
    <w:rsid w:val="000638E6"/>
    <w:rsid w:val="00063DD0"/>
    <w:rsid w:val="00065309"/>
    <w:rsid w:val="000656BA"/>
    <w:rsid w:val="000663BE"/>
    <w:rsid w:val="000718AD"/>
    <w:rsid w:val="00075C49"/>
    <w:rsid w:val="0007769F"/>
    <w:rsid w:val="00082A57"/>
    <w:rsid w:val="0008384D"/>
    <w:rsid w:val="0008418A"/>
    <w:rsid w:val="00085EBA"/>
    <w:rsid w:val="00092310"/>
    <w:rsid w:val="0009560A"/>
    <w:rsid w:val="00097CD4"/>
    <w:rsid w:val="000A27DD"/>
    <w:rsid w:val="000A2D31"/>
    <w:rsid w:val="000A4D9A"/>
    <w:rsid w:val="000A4DA2"/>
    <w:rsid w:val="000A62A6"/>
    <w:rsid w:val="000B2167"/>
    <w:rsid w:val="000B3D81"/>
    <w:rsid w:val="000B54B8"/>
    <w:rsid w:val="000B68FE"/>
    <w:rsid w:val="000C0887"/>
    <w:rsid w:val="000C0938"/>
    <w:rsid w:val="000C2A49"/>
    <w:rsid w:val="000C2BA6"/>
    <w:rsid w:val="000C3F05"/>
    <w:rsid w:val="000C794F"/>
    <w:rsid w:val="000D5EE4"/>
    <w:rsid w:val="000D7CFC"/>
    <w:rsid w:val="000E4B74"/>
    <w:rsid w:val="000E6311"/>
    <w:rsid w:val="000F71EF"/>
    <w:rsid w:val="0010252A"/>
    <w:rsid w:val="00105D7B"/>
    <w:rsid w:val="001063F6"/>
    <w:rsid w:val="001128A5"/>
    <w:rsid w:val="00113D1D"/>
    <w:rsid w:val="00115F20"/>
    <w:rsid w:val="00116B42"/>
    <w:rsid w:val="00123161"/>
    <w:rsid w:val="00124587"/>
    <w:rsid w:val="00127916"/>
    <w:rsid w:val="00131472"/>
    <w:rsid w:val="00133301"/>
    <w:rsid w:val="0013504F"/>
    <w:rsid w:val="00136BE0"/>
    <w:rsid w:val="001416B2"/>
    <w:rsid w:val="0014632F"/>
    <w:rsid w:val="0014729D"/>
    <w:rsid w:val="001552A1"/>
    <w:rsid w:val="00157882"/>
    <w:rsid w:val="00161A53"/>
    <w:rsid w:val="00165103"/>
    <w:rsid w:val="0016765A"/>
    <w:rsid w:val="00172C28"/>
    <w:rsid w:val="00174D10"/>
    <w:rsid w:val="00180515"/>
    <w:rsid w:val="00181021"/>
    <w:rsid w:val="00190714"/>
    <w:rsid w:val="0019552B"/>
    <w:rsid w:val="001A300F"/>
    <w:rsid w:val="001A55F0"/>
    <w:rsid w:val="001A7287"/>
    <w:rsid w:val="001A7BFA"/>
    <w:rsid w:val="001B0112"/>
    <w:rsid w:val="001B2F8A"/>
    <w:rsid w:val="001B713D"/>
    <w:rsid w:val="001C0252"/>
    <w:rsid w:val="001C23FD"/>
    <w:rsid w:val="001D1BE5"/>
    <w:rsid w:val="001D1F57"/>
    <w:rsid w:val="001D6341"/>
    <w:rsid w:val="001E3197"/>
    <w:rsid w:val="001E5F28"/>
    <w:rsid w:val="002015BB"/>
    <w:rsid w:val="0020410A"/>
    <w:rsid w:val="002056F0"/>
    <w:rsid w:val="00207377"/>
    <w:rsid w:val="0022327B"/>
    <w:rsid w:val="00230E45"/>
    <w:rsid w:val="0023498A"/>
    <w:rsid w:val="0023549B"/>
    <w:rsid w:val="00235E08"/>
    <w:rsid w:val="0023696C"/>
    <w:rsid w:val="002378DE"/>
    <w:rsid w:val="00240637"/>
    <w:rsid w:val="00242B20"/>
    <w:rsid w:val="00243AA5"/>
    <w:rsid w:val="00244808"/>
    <w:rsid w:val="00244994"/>
    <w:rsid w:val="00245080"/>
    <w:rsid w:val="0024522E"/>
    <w:rsid w:val="002469C0"/>
    <w:rsid w:val="00246A96"/>
    <w:rsid w:val="002506CD"/>
    <w:rsid w:val="00252411"/>
    <w:rsid w:val="00253A43"/>
    <w:rsid w:val="002544D3"/>
    <w:rsid w:val="00255DC9"/>
    <w:rsid w:val="00257318"/>
    <w:rsid w:val="00262742"/>
    <w:rsid w:val="0027195F"/>
    <w:rsid w:val="0027369D"/>
    <w:rsid w:val="002749C1"/>
    <w:rsid w:val="00274B21"/>
    <w:rsid w:val="002806B4"/>
    <w:rsid w:val="0028190F"/>
    <w:rsid w:val="0028223B"/>
    <w:rsid w:val="00282D9B"/>
    <w:rsid w:val="00286729"/>
    <w:rsid w:val="00287F3D"/>
    <w:rsid w:val="00294DBF"/>
    <w:rsid w:val="00297D31"/>
    <w:rsid w:val="002A47F2"/>
    <w:rsid w:val="002A7026"/>
    <w:rsid w:val="002B41B2"/>
    <w:rsid w:val="002B594B"/>
    <w:rsid w:val="002B6A1B"/>
    <w:rsid w:val="002C15F7"/>
    <w:rsid w:val="002C7559"/>
    <w:rsid w:val="002D50A7"/>
    <w:rsid w:val="002E3C26"/>
    <w:rsid w:val="002E7574"/>
    <w:rsid w:val="002F155B"/>
    <w:rsid w:val="002F4A2E"/>
    <w:rsid w:val="002F5971"/>
    <w:rsid w:val="002F7958"/>
    <w:rsid w:val="00300946"/>
    <w:rsid w:val="0030412A"/>
    <w:rsid w:val="00304DF3"/>
    <w:rsid w:val="00304E70"/>
    <w:rsid w:val="00305F76"/>
    <w:rsid w:val="00312127"/>
    <w:rsid w:val="00312AFC"/>
    <w:rsid w:val="0033087A"/>
    <w:rsid w:val="00332F85"/>
    <w:rsid w:val="00333E8D"/>
    <w:rsid w:val="00336EDC"/>
    <w:rsid w:val="003470F0"/>
    <w:rsid w:val="00347368"/>
    <w:rsid w:val="00351967"/>
    <w:rsid w:val="00356A25"/>
    <w:rsid w:val="00360499"/>
    <w:rsid w:val="00361501"/>
    <w:rsid w:val="00362E3C"/>
    <w:rsid w:val="00363215"/>
    <w:rsid w:val="003672AF"/>
    <w:rsid w:val="00394B5F"/>
    <w:rsid w:val="00395193"/>
    <w:rsid w:val="003B1CB6"/>
    <w:rsid w:val="003B29A3"/>
    <w:rsid w:val="003B3080"/>
    <w:rsid w:val="003B5D31"/>
    <w:rsid w:val="003B7D35"/>
    <w:rsid w:val="003C3545"/>
    <w:rsid w:val="003C5A89"/>
    <w:rsid w:val="003D104E"/>
    <w:rsid w:val="003D2F13"/>
    <w:rsid w:val="003D47A4"/>
    <w:rsid w:val="003D5241"/>
    <w:rsid w:val="003D52DB"/>
    <w:rsid w:val="003D6861"/>
    <w:rsid w:val="003D7911"/>
    <w:rsid w:val="003E0264"/>
    <w:rsid w:val="003E17A1"/>
    <w:rsid w:val="003E292F"/>
    <w:rsid w:val="003E3541"/>
    <w:rsid w:val="003E619D"/>
    <w:rsid w:val="003E626B"/>
    <w:rsid w:val="003E72FF"/>
    <w:rsid w:val="003F30B4"/>
    <w:rsid w:val="003F40A8"/>
    <w:rsid w:val="003F51CC"/>
    <w:rsid w:val="003F6768"/>
    <w:rsid w:val="0040387A"/>
    <w:rsid w:val="00406B26"/>
    <w:rsid w:val="0041020F"/>
    <w:rsid w:val="00413F99"/>
    <w:rsid w:val="004151F1"/>
    <w:rsid w:val="0041731B"/>
    <w:rsid w:val="004208AA"/>
    <w:rsid w:val="00422971"/>
    <w:rsid w:val="00423BE9"/>
    <w:rsid w:val="00425817"/>
    <w:rsid w:val="00432ED8"/>
    <w:rsid w:val="00433A78"/>
    <w:rsid w:val="00437883"/>
    <w:rsid w:val="00445293"/>
    <w:rsid w:val="00450818"/>
    <w:rsid w:val="004634F0"/>
    <w:rsid w:val="004748BF"/>
    <w:rsid w:val="00474E2A"/>
    <w:rsid w:val="00477E14"/>
    <w:rsid w:val="00482BAD"/>
    <w:rsid w:val="00483CCA"/>
    <w:rsid w:val="00496099"/>
    <w:rsid w:val="00496E55"/>
    <w:rsid w:val="004A01D2"/>
    <w:rsid w:val="004A3AA7"/>
    <w:rsid w:val="004A6BA7"/>
    <w:rsid w:val="004A6BF3"/>
    <w:rsid w:val="004A7C8A"/>
    <w:rsid w:val="004B12F3"/>
    <w:rsid w:val="004B1EBD"/>
    <w:rsid w:val="004C1AC2"/>
    <w:rsid w:val="004C251E"/>
    <w:rsid w:val="004C3732"/>
    <w:rsid w:val="004C47B5"/>
    <w:rsid w:val="004C6638"/>
    <w:rsid w:val="004C6907"/>
    <w:rsid w:val="004D2E7F"/>
    <w:rsid w:val="004D45F3"/>
    <w:rsid w:val="004E2152"/>
    <w:rsid w:val="004E35BA"/>
    <w:rsid w:val="004E392E"/>
    <w:rsid w:val="004E5323"/>
    <w:rsid w:val="004E565C"/>
    <w:rsid w:val="004E5BF8"/>
    <w:rsid w:val="004F04A1"/>
    <w:rsid w:val="004F56BB"/>
    <w:rsid w:val="00500B86"/>
    <w:rsid w:val="00507022"/>
    <w:rsid w:val="00512208"/>
    <w:rsid w:val="00521A45"/>
    <w:rsid w:val="00526D00"/>
    <w:rsid w:val="005331EB"/>
    <w:rsid w:val="00534CDF"/>
    <w:rsid w:val="00535B6C"/>
    <w:rsid w:val="0054058F"/>
    <w:rsid w:val="005466DC"/>
    <w:rsid w:val="00551824"/>
    <w:rsid w:val="00552652"/>
    <w:rsid w:val="00560ECA"/>
    <w:rsid w:val="00562510"/>
    <w:rsid w:val="00566FE3"/>
    <w:rsid w:val="00570710"/>
    <w:rsid w:val="00571AD3"/>
    <w:rsid w:val="005769DE"/>
    <w:rsid w:val="00582960"/>
    <w:rsid w:val="00583CB0"/>
    <w:rsid w:val="00586615"/>
    <w:rsid w:val="005959FD"/>
    <w:rsid w:val="0059752C"/>
    <w:rsid w:val="005A27CE"/>
    <w:rsid w:val="005A5CC3"/>
    <w:rsid w:val="005A5CD8"/>
    <w:rsid w:val="005B1322"/>
    <w:rsid w:val="005C3EC4"/>
    <w:rsid w:val="005C41F3"/>
    <w:rsid w:val="005C4620"/>
    <w:rsid w:val="005C7B0B"/>
    <w:rsid w:val="005D24DB"/>
    <w:rsid w:val="005D7DAE"/>
    <w:rsid w:val="005E28F5"/>
    <w:rsid w:val="005E2A61"/>
    <w:rsid w:val="005E4463"/>
    <w:rsid w:val="005E5B86"/>
    <w:rsid w:val="005F020C"/>
    <w:rsid w:val="005F42C0"/>
    <w:rsid w:val="005F4354"/>
    <w:rsid w:val="005F5A97"/>
    <w:rsid w:val="005F5DA0"/>
    <w:rsid w:val="00601A68"/>
    <w:rsid w:val="0060621F"/>
    <w:rsid w:val="00615170"/>
    <w:rsid w:val="006162CA"/>
    <w:rsid w:val="00626E3C"/>
    <w:rsid w:val="0062750E"/>
    <w:rsid w:val="00630251"/>
    <w:rsid w:val="00632B41"/>
    <w:rsid w:val="00634649"/>
    <w:rsid w:val="00641425"/>
    <w:rsid w:val="006475F2"/>
    <w:rsid w:val="00652336"/>
    <w:rsid w:val="00652384"/>
    <w:rsid w:val="00652D34"/>
    <w:rsid w:val="00654463"/>
    <w:rsid w:val="00661363"/>
    <w:rsid w:val="0066530B"/>
    <w:rsid w:val="00665435"/>
    <w:rsid w:val="00666020"/>
    <w:rsid w:val="00670062"/>
    <w:rsid w:val="006702B8"/>
    <w:rsid w:val="00670919"/>
    <w:rsid w:val="00671ECB"/>
    <w:rsid w:val="00672C37"/>
    <w:rsid w:val="00674AFC"/>
    <w:rsid w:val="00674E48"/>
    <w:rsid w:val="006853FE"/>
    <w:rsid w:val="006A4EB1"/>
    <w:rsid w:val="006A5B3D"/>
    <w:rsid w:val="006A5DFF"/>
    <w:rsid w:val="006A5F3F"/>
    <w:rsid w:val="006B0544"/>
    <w:rsid w:val="006B1F04"/>
    <w:rsid w:val="006B353C"/>
    <w:rsid w:val="006C1E6B"/>
    <w:rsid w:val="006D0DFD"/>
    <w:rsid w:val="006D0ED3"/>
    <w:rsid w:val="006D2AE3"/>
    <w:rsid w:val="006D3A92"/>
    <w:rsid w:val="006E0446"/>
    <w:rsid w:val="006E4732"/>
    <w:rsid w:val="006E4FC6"/>
    <w:rsid w:val="006F07EF"/>
    <w:rsid w:val="006F1AD9"/>
    <w:rsid w:val="00700BF6"/>
    <w:rsid w:val="007037A4"/>
    <w:rsid w:val="00704C2B"/>
    <w:rsid w:val="007050D8"/>
    <w:rsid w:val="007050EA"/>
    <w:rsid w:val="00710E7A"/>
    <w:rsid w:val="00720F26"/>
    <w:rsid w:val="00722F2F"/>
    <w:rsid w:val="007277A5"/>
    <w:rsid w:val="00736D90"/>
    <w:rsid w:val="00737178"/>
    <w:rsid w:val="007464BD"/>
    <w:rsid w:val="0075038E"/>
    <w:rsid w:val="00752F38"/>
    <w:rsid w:val="007563B5"/>
    <w:rsid w:val="007674FB"/>
    <w:rsid w:val="007678EB"/>
    <w:rsid w:val="00767AF9"/>
    <w:rsid w:val="00772372"/>
    <w:rsid w:val="00772D11"/>
    <w:rsid w:val="007764AD"/>
    <w:rsid w:val="00776B0D"/>
    <w:rsid w:val="007773B8"/>
    <w:rsid w:val="007774B2"/>
    <w:rsid w:val="00780CD5"/>
    <w:rsid w:val="00781A12"/>
    <w:rsid w:val="00782151"/>
    <w:rsid w:val="0079006E"/>
    <w:rsid w:val="007902A0"/>
    <w:rsid w:val="00795D54"/>
    <w:rsid w:val="007A4523"/>
    <w:rsid w:val="007B122A"/>
    <w:rsid w:val="007B3237"/>
    <w:rsid w:val="007B44A7"/>
    <w:rsid w:val="007B5D79"/>
    <w:rsid w:val="007C1766"/>
    <w:rsid w:val="007C7956"/>
    <w:rsid w:val="007D6D9F"/>
    <w:rsid w:val="007D6E6C"/>
    <w:rsid w:val="007E26F6"/>
    <w:rsid w:val="007E4666"/>
    <w:rsid w:val="007E4947"/>
    <w:rsid w:val="007E5673"/>
    <w:rsid w:val="007E5688"/>
    <w:rsid w:val="007E5A44"/>
    <w:rsid w:val="007F2F29"/>
    <w:rsid w:val="007F5823"/>
    <w:rsid w:val="007F73D0"/>
    <w:rsid w:val="00803692"/>
    <w:rsid w:val="008037FE"/>
    <w:rsid w:val="00804F5C"/>
    <w:rsid w:val="00805347"/>
    <w:rsid w:val="008057E3"/>
    <w:rsid w:val="00805C46"/>
    <w:rsid w:val="008067F9"/>
    <w:rsid w:val="00806AA3"/>
    <w:rsid w:val="008102EA"/>
    <w:rsid w:val="00815536"/>
    <w:rsid w:val="00815ED7"/>
    <w:rsid w:val="008163E0"/>
    <w:rsid w:val="00820937"/>
    <w:rsid w:val="00820B7C"/>
    <w:rsid w:val="00820DB5"/>
    <w:rsid w:val="008216D9"/>
    <w:rsid w:val="00825FAD"/>
    <w:rsid w:val="00825FBD"/>
    <w:rsid w:val="0082645E"/>
    <w:rsid w:val="00832EAA"/>
    <w:rsid w:val="008474F3"/>
    <w:rsid w:val="00854D10"/>
    <w:rsid w:val="008575E2"/>
    <w:rsid w:val="008603F5"/>
    <w:rsid w:val="00863910"/>
    <w:rsid w:val="008711DF"/>
    <w:rsid w:val="008730F6"/>
    <w:rsid w:val="0087425C"/>
    <w:rsid w:val="00882958"/>
    <w:rsid w:val="00882FCB"/>
    <w:rsid w:val="00885145"/>
    <w:rsid w:val="008874D4"/>
    <w:rsid w:val="008938F2"/>
    <w:rsid w:val="00894E8A"/>
    <w:rsid w:val="00895E98"/>
    <w:rsid w:val="00896D77"/>
    <w:rsid w:val="008A3D6B"/>
    <w:rsid w:val="008A4E56"/>
    <w:rsid w:val="008A71A2"/>
    <w:rsid w:val="008B3F4F"/>
    <w:rsid w:val="008B7D72"/>
    <w:rsid w:val="008C36DD"/>
    <w:rsid w:val="008D0FC4"/>
    <w:rsid w:val="008D2131"/>
    <w:rsid w:val="008D6DF4"/>
    <w:rsid w:val="008E44AA"/>
    <w:rsid w:val="008E5C2D"/>
    <w:rsid w:val="008E7308"/>
    <w:rsid w:val="008F0CE5"/>
    <w:rsid w:val="008F5CB9"/>
    <w:rsid w:val="00900F20"/>
    <w:rsid w:val="0090490B"/>
    <w:rsid w:val="00912AB3"/>
    <w:rsid w:val="00912DB0"/>
    <w:rsid w:val="00914AAA"/>
    <w:rsid w:val="00914D1E"/>
    <w:rsid w:val="009153C8"/>
    <w:rsid w:val="009375B6"/>
    <w:rsid w:val="00940BD4"/>
    <w:rsid w:val="009503CF"/>
    <w:rsid w:val="009515CA"/>
    <w:rsid w:val="009538A5"/>
    <w:rsid w:val="00955877"/>
    <w:rsid w:val="00963829"/>
    <w:rsid w:val="009672A1"/>
    <w:rsid w:val="00967728"/>
    <w:rsid w:val="00967A71"/>
    <w:rsid w:val="00971581"/>
    <w:rsid w:val="00974C2E"/>
    <w:rsid w:val="00982A06"/>
    <w:rsid w:val="00982B9F"/>
    <w:rsid w:val="0098581A"/>
    <w:rsid w:val="009924BD"/>
    <w:rsid w:val="009A1685"/>
    <w:rsid w:val="009A1760"/>
    <w:rsid w:val="009A5889"/>
    <w:rsid w:val="009B1340"/>
    <w:rsid w:val="009B2190"/>
    <w:rsid w:val="009B2326"/>
    <w:rsid w:val="009B454F"/>
    <w:rsid w:val="009B73E6"/>
    <w:rsid w:val="009C0C37"/>
    <w:rsid w:val="009C34C2"/>
    <w:rsid w:val="009C5B24"/>
    <w:rsid w:val="009C6BF9"/>
    <w:rsid w:val="009D5A77"/>
    <w:rsid w:val="009D5B8F"/>
    <w:rsid w:val="009E1DB2"/>
    <w:rsid w:val="009F721E"/>
    <w:rsid w:val="00A012ED"/>
    <w:rsid w:val="00A02A79"/>
    <w:rsid w:val="00A032C3"/>
    <w:rsid w:val="00A05A9B"/>
    <w:rsid w:val="00A1695A"/>
    <w:rsid w:val="00A1775F"/>
    <w:rsid w:val="00A205AD"/>
    <w:rsid w:val="00A21CB3"/>
    <w:rsid w:val="00A260B0"/>
    <w:rsid w:val="00A30B26"/>
    <w:rsid w:val="00A3278B"/>
    <w:rsid w:val="00A33569"/>
    <w:rsid w:val="00A369C5"/>
    <w:rsid w:val="00A42E4B"/>
    <w:rsid w:val="00A44ACB"/>
    <w:rsid w:val="00A455FD"/>
    <w:rsid w:val="00A461C4"/>
    <w:rsid w:val="00A467AA"/>
    <w:rsid w:val="00A5019D"/>
    <w:rsid w:val="00A51E26"/>
    <w:rsid w:val="00A54344"/>
    <w:rsid w:val="00A55EE0"/>
    <w:rsid w:val="00A70D15"/>
    <w:rsid w:val="00A80CE4"/>
    <w:rsid w:val="00A821F7"/>
    <w:rsid w:val="00A871EA"/>
    <w:rsid w:val="00A90F19"/>
    <w:rsid w:val="00A911A2"/>
    <w:rsid w:val="00A9314C"/>
    <w:rsid w:val="00A956A9"/>
    <w:rsid w:val="00AA1216"/>
    <w:rsid w:val="00AA3FC6"/>
    <w:rsid w:val="00AB0FEE"/>
    <w:rsid w:val="00AB3EA6"/>
    <w:rsid w:val="00AB617D"/>
    <w:rsid w:val="00AC228E"/>
    <w:rsid w:val="00AC7814"/>
    <w:rsid w:val="00AD04B5"/>
    <w:rsid w:val="00AD0EED"/>
    <w:rsid w:val="00AD59D9"/>
    <w:rsid w:val="00AD6373"/>
    <w:rsid w:val="00AE09A7"/>
    <w:rsid w:val="00AE2482"/>
    <w:rsid w:val="00AF3B2E"/>
    <w:rsid w:val="00B00BC1"/>
    <w:rsid w:val="00B02140"/>
    <w:rsid w:val="00B022FE"/>
    <w:rsid w:val="00B0271A"/>
    <w:rsid w:val="00B037E7"/>
    <w:rsid w:val="00B14792"/>
    <w:rsid w:val="00B24CEC"/>
    <w:rsid w:val="00B25FAC"/>
    <w:rsid w:val="00B269BD"/>
    <w:rsid w:val="00B41E40"/>
    <w:rsid w:val="00B426B3"/>
    <w:rsid w:val="00B502B4"/>
    <w:rsid w:val="00B50908"/>
    <w:rsid w:val="00B51252"/>
    <w:rsid w:val="00B5370B"/>
    <w:rsid w:val="00B65019"/>
    <w:rsid w:val="00B67D00"/>
    <w:rsid w:val="00B704EA"/>
    <w:rsid w:val="00B725FB"/>
    <w:rsid w:val="00B72977"/>
    <w:rsid w:val="00B748B3"/>
    <w:rsid w:val="00B74F7C"/>
    <w:rsid w:val="00B75D8C"/>
    <w:rsid w:val="00B77808"/>
    <w:rsid w:val="00B80073"/>
    <w:rsid w:val="00B803C9"/>
    <w:rsid w:val="00B879CA"/>
    <w:rsid w:val="00B9310A"/>
    <w:rsid w:val="00B93D7E"/>
    <w:rsid w:val="00B945EB"/>
    <w:rsid w:val="00B94AD0"/>
    <w:rsid w:val="00B966E0"/>
    <w:rsid w:val="00BA0EF0"/>
    <w:rsid w:val="00BA3206"/>
    <w:rsid w:val="00BA5C92"/>
    <w:rsid w:val="00BA70B9"/>
    <w:rsid w:val="00BB1011"/>
    <w:rsid w:val="00BB1C64"/>
    <w:rsid w:val="00BB1CB8"/>
    <w:rsid w:val="00BB1D21"/>
    <w:rsid w:val="00BB3C2E"/>
    <w:rsid w:val="00BB4AAF"/>
    <w:rsid w:val="00BB5F95"/>
    <w:rsid w:val="00BC51D3"/>
    <w:rsid w:val="00BC5F6D"/>
    <w:rsid w:val="00BD095A"/>
    <w:rsid w:val="00BD4DA7"/>
    <w:rsid w:val="00BD61F1"/>
    <w:rsid w:val="00BD737D"/>
    <w:rsid w:val="00BE13B4"/>
    <w:rsid w:val="00BE4F86"/>
    <w:rsid w:val="00BE5907"/>
    <w:rsid w:val="00C02A12"/>
    <w:rsid w:val="00C078BB"/>
    <w:rsid w:val="00C1100C"/>
    <w:rsid w:val="00C16958"/>
    <w:rsid w:val="00C16EDE"/>
    <w:rsid w:val="00C250C5"/>
    <w:rsid w:val="00C3137C"/>
    <w:rsid w:val="00C328F9"/>
    <w:rsid w:val="00C34948"/>
    <w:rsid w:val="00C379BF"/>
    <w:rsid w:val="00C44E24"/>
    <w:rsid w:val="00C45CB4"/>
    <w:rsid w:val="00C501E5"/>
    <w:rsid w:val="00C52062"/>
    <w:rsid w:val="00C52EBF"/>
    <w:rsid w:val="00C57FAE"/>
    <w:rsid w:val="00C626A3"/>
    <w:rsid w:val="00C62EDC"/>
    <w:rsid w:val="00C70AA4"/>
    <w:rsid w:val="00C76B4D"/>
    <w:rsid w:val="00C8047E"/>
    <w:rsid w:val="00C80705"/>
    <w:rsid w:val="00C8076F"/>
    <w:rsid w:val="00C808A2"/>
    <w:rsid w:val="00C80B8D"/>
    <w:rsid w:val="00C812AF"/>
    <w:rsid w:val="00C82B6E"/>
    <w:rsid w:val="00C832B1"/>
    <w:rsid w:val="00C85C69"/>
    <w:rsid w:val="00C90616"/>
    <w:rsid w:val="00C91319"/>
    <w:rsid w:val="00C93FD9"/>
    <w:rsid w:val="00C95F40"/>
    <w:rsid w:val="00C96762"/>
    <w:rsid w:val="00CA2E5D"/>
    <w:rsid w:val="00CA443F"/>
    <w:rsid w:val="00CA5473"/>
    <w:rsid w:val="00CA6BB3"/>
    <w:rsid w:val="00CA7A4E"/>
    <w:rsid w:val="00CB00A7"/>
    <w:rsid w:val="00CB0B3B"/>
    <w:rsid w:val="00CB0BEB"/>
    <w:rsid w:val="00CB2A3D"/>
    <w:rsid w:val="00CB4820"/>
    <w:rsid w:val="00CB5B6F"/>
    <w:rsid w:val="00CB7C2F"/>
    <w:rsid w:val="00CC38C0"/>
    <w:rsid w:val="00CC5410"/>
    <w:rsid w:val="00CD4476"/>
    <w:rsid w:val="00CD4F99"/>
    <w:rsid w:val="00CE0F2A"/>
    <w:rsid w:val="00CE1835"/>
    <w:rsid w:val="00CF2A93"/>
    <w:rsid w:val="00CF41F0"/>
    <w:rsid w:val="00D011F9"/>
    <w:rsid w:val="00D06160"/>
    <w:rsid w:val="00D06F8D"/>
    <w:rsid w:val="00D074BF"/>
    <w:rsid w:val="00D11214"/>
    <w:rsid w:val="00D15323"/>
    <w:rsid w:val="00D21561"/>
    <w:rsid w:val="00D22DD6"/>
    <w:rsid w:val="00D2534F"/>
    <w:rsid w:val="00D2674D"/>
    <w:rsid w:val="00D302B9"/>
    <w:rsid w:val="00D30B5F"/>
    <w:rsid w:val="00D31FAF"/>
    <w:rsid w:val="00D33C1D"/>
    <w:rsid w:val="00D40B1D"/>
    <w:rsid w:val="00D431C4"/>
    <w:rsid w:val="00D46E52"/>
    <w:rsid w:val="00D61409"/>
    <w:rsid w:val="00D62944"/>
    <w:rsid w:val="00D63A5B"/>
    <w:rsid w:val="00D66D62"/>
    <w:rsid w:val="00D702CF"/>
    <w:rsid w:val="00D71138"/>
    <w:rsid w:val="00D71179"/>
    <w:rsid w:val="00D719C6"/>
    <w:rsid w:val="00D75745"/>
    <w:rsid w:val="00D8104E"/>
    <w:rsid w:val="00D82568"/>
    <w:rsid w:val="00D85D06"/>
    <w:rsid w:val="00DA12D4"/>
    <w:rsid w:val="00DA3B2F"/>
    <w:rsid w:val="00DA6054"/>
    <w:rsid w:val="00DB0B7E"/>
    <w:rsid w:val="00DB51C0"/>
    <w:rsid w:val="00DC0064"/>
    <w:rsid w:val="00DC014F"/>
    <w:rsid w:val="00DC0225"/>
    <w:rsid w:val="00DC07B0"/>
    <w:rsid w:val="00DC4989"/>
    <w:rsid w:val="00DC5B72"/>
    <w:rsid w:val="00DC6B16"/>
    <w:rsid w:val="00DC737C"/>
    <w:rsid w:val="00DD01B2"/>
    <w:rsid w:val="00DD5102"/>
    <w:rsid w:val="00DE0139"/>
    <w:rsid w:val="00DE3306"/>
    <w:rsid w:val="00DE6058"/>
    <w:rsid w:val="00DF0A99"/>
    <w:rsid w:val="00DF1EEC"/>
    <w:rsid w:val="00DF76FA"/>
    <w:rsid w:val="00E0647F"/>
    <w:rsid w:val="00E066E8"/>
    <w:rsid w:val="00E07169"/>
    <w:rsid w:val="00E10E71"/>
    <w:rsid w:val="00E13327"/>
    <w:rsid w:val="00E2053F"/>
    <w:rsid w:val="00E212FA"/>
    <w:rsid w:val="00E22856"/>
    <w:rsid w:val="00E27D57"/>
    <w:rsid w:val="00E349AC"/>
    <w:rsid w:val="00E369F7"/>
    <w:rsid w:val="00E36A4E"/>
    <w:rsid w:val="00E40B8A"/>
    <w:rsid w:val="00E42307"/>
    <w:rsid w:val="00E451C1"/>
    <w:rsid w:val="00E50082"/>
    <w:rsid w:val="00E521CD"/>
    <w:rsid w:val="00E60D04"/>
    <w:rsid w:val="00E64628"/>
    <w:rsid w:val="00E673CF"/>
    <w:rsid w:val="00E706CF"/>
    <w:rsid w:val="00E72E82"/>
    <w:rsid w:val="00E759BD"/>
    <w:rsid w:val="00E81393"/>
    <w:rsid w:val="00E81C61"/>
    <w:rsid w:val="00E864EE"/>
    <w:rsid w:val="00E97C6A"/>
    <w:rsid w:val="00EA042C"/>
    <w:rsid w:val="00EA1DEC"/>
    <w:rsid w:val="00EA23E5"/>
    <w:rsid w:val="00EB2BF0"/>
    <w:rsid w:val="00EB56F0"/>
    <w:rsid w:val="00EB6163"/>
    <w:rsid w:val="00EB62BE"/>
    <w:rsid w:val="00EC0A10"/>
    <w:rsid w:val="00EC0B9F"/>
    <w:rsid w:val="00EC3817"/>
    <w:rsid w:val="00EC3BE1"/>
    <w:rsid w:val="00EC4B2D"/>
    <w:rsid w:val="00EC50D1"/>
    <w:rsid w:val="00ED02A1"/>
    <w:rsid w:val="00ED3A4A"/>
    <w:rsid w:val="00ED755F"/>
    <w:rsid w:val="00EE21F6"/>
    <w:rsid w:val="00EE5402"/>
    <w:rsid w:val="00EE5F75"/>
    <w:rsid w:val="00EE6276"/>
    <w:rsid w:val="00EF3BB8"/>
    <w:rsid w:val="00F05059"/>
    <w:rsid w:val="00F05559"/>
    <w:rsid w:val="00F101E7"/>
    <w:rsid w:val="00F118BE"/>
    <w:rsid w:val="00F13DD2"/>
    <w:rsid w:val="00F14EFD"/>
    <w:rsid w:val="00F15D42"/>
    <w:rsid w:val="00F17D57"/>
    <w:rsid w:val="00F2204E"/>
    <w:rsid w:val="00F30755"/>
    <w:rsid w:val="00F3389E"/>
    <w:rsid w:val="00F3402C"/>
    <w:rsid w:val="00F417A2"/>
    <w:rsid w:val="00F50CC4"/>
    <w:rsid w:val="00F527CF"/>
    <w:rsid w:val="00F6345D"/>
    <w:rsid w:val="00F645EA"/>
    <w:rsid w:val="00F656B7"/>
    <w:rsid w:val="00F656E8"/>
    <w:rsid w:val="00F67A9F"/>
    <w:rsid w:val="00F77170"/>
    <w:rsid w:val="00F8198A"/>
    <w:rsid w:val="00F826AB"/>
    <w:rsid w:val="00F94B24"/>
    <w:rsid w:val="00F9529A"/>
    <w:rsid w:val="00F97EB5"/>
    <w:rsid w:val="00FA5B5B"/>
    <w:rsid w:val="00FB252C"/>
    <w:rsid w:val="00FB29DF"/>
    <w:rsid w:val="00FB31D1"/>
    <w:rsid w:val="00FB6379"/>
    <w:rsid w:val="00FB6D58"/>
    <w:rsid w:val="00FC0C86"/>
    <w:rsid w:val="00FC15A5"/>
    <w:rsid w:val="00FC2397"/>
    <w:rsid w:val="00FC3677"/>
    <w:rsid w:val="00FC4633"/>
    <w:rsid w:val="00FC57E7"/>
    <w:rsid w:val="00FC5A6A"/>
    <w:rsid w:val="00FC5B5F"/>
    <w:rsid w:val="00FC7A15"/>
    <w:rsid w:val="00FC7BBB"/>
    <w:rsid w:val="00FD0BAE"/>
    <w:rsid w:val="00FD43AA"/>
    <w:rsid w:val="00FD7F7E"/>
    <w:rsid w:val="00FE0789"/>
    <w:rsid w:val="00FE5389"/>
    <w:rsid w:val="00FF4694"/>
    <w:rsid w:val="00FF5822"/>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uiPriority w:val="99"/>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paragraph" w:customStyle="1" w:styleId="Default">
    <w:name w:val="Default"/>
    <w:rsid w:val="00615170"/>
    <w:pPr>
      <w:autoSpaceDE w:val="0"/>
      <w:autoSpaceDN w:val="0"/>
      <w:adjustRightInd w:val="0"/>
    </w:pPr>
    <w:rPr>
      <w:color w:val="000000"/>
      <w:sz w:val="24"/>
      <w:szCs w:val="24"/>
    </w:rPr>
  </w:style>
  <w:style w:type="paragraph" w:customStyle="1" w:styleId="wysiwyg-indent4">
    <w:name w:val="wysiwyg-indent4"/>
    <w:basedOn w:val="Normal"/>
    <w:rsid w:val="00D33C1D"/>
    <w:pPr>
      <w:spacing w:after="100" w:afterAutospacing="1"/>
    </w:pPr>
  </w:style>
  <w:style w:type="character" w:styleId="Emphasis">
    <w:name w:val="Emphasis"/>
    <w:basedOn w:val="DefaultParagraphFont"/>
    <w:uiPriority w:val="20"/>
    <w:qFormat/>
    <w:rsid w:val="00D33C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728101">
      <w:bodyDiv w:val="1"/>
      <w:marLeft w:val="0"/>
      <w:marRight w:val="0"/>
      <w:marTop w:val="0"/>
      <w:marBottom w:val="0"/>
      <w:divBdr>
        <w:top w:val="none" w:sz="0" w:space="0" w:color="auto"/>
        <w:left w:val="none" w:sz="0" w:space="0" w:color="auto"/>
        <w:bottom w:val="none" w:sz="0" w:space="0" w:color="auto"/>
        <w:right w:val="none" w:sz="0" w:space="0" w:color="auto"/>
      </w:divBdr>
      <w:divsChild>
        <w:div w:id="2010985202">
          <w:marLeft w:val="0"/>
          <w:marRight w:val="0"/>
          <w:marTop w:val="0"/>
          <w:marBottom w:val="0"/>
          <w:divBdr>
            <w:top w:val="none" w:sz="0" w:space="0" w:color="auto"/>
            <w:left w:val="none" w:sz="0" w:space="0" w:color="auto"/>
            <w:bottom w:val="none" w:sz="0" w:space="0" w:color="auto"/>
            <w:right w:val="none" w:sz="0" w:space="0" w:color="auto"/>
          </w:divBdr>
          <w:divsChild>
            <w:div w:id="1148324210">
              <w:marLeft w:val="0"/>
              <w:marRight w:val="0"/>
              <w:marTop w:val="225"/>
              <w:marBottom w:val="0"/>
              <w:divBdr>
                <w:top w:val="none" w:sz="0" w:space="0" w:color="auto"/>
                <w:left w:val="none" w:sz="0" w:space="0" w:color="auto"/>
                <w:bottom w:val="none" w:sz="0" w:space="0" w:color="auto"/>
                <w:right w:val="none" w:sz="0" w:space="0" w:color="auto"/>
              </w:divBdr>
              <w:divsChild>
                <w:div w:id="18783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175652502">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it.gov/policy-researchers-implementers/meaningful-use-stage-2-0/standards-hub" TargetMode="External"/><Relationship Id="rId13" Type="http://schemas.openxmlformats.org/officeDocument/2006/relationships/hyperlink" Target="mailto:ehr@drummondgroup.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rummondgroup.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fc-editor.org/info/rfc564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hl7.org/implement/standards/product_brief.cfm?product_id=2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l7.org/implement/standards/product_brief.cfm?product_id=283"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639C2-02EF-4F9A-AC94-31A4666B7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1399</Words>
  <Characters>7976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9357</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10</cp:revision>
  <dcterms:created xsi:type="dcterms:W3CDTF">2016-04-25T16:03:00Z</dcterms:created>
  <dcterms:modified xsi:type="dcterms:W3CDTF">2016-09-27T19:22:00Z</dcterms:modified>
</cp:coreProperties>
</file>