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543F5C" w:rsidP="00BD6A40">
      <w:pPr>
        <w:pStyle w:val="Heading1"/>
        <w:rPr>
          <w:sz w:val="28"/>
          <w:szCs w:val="28"/>
        </w:rPr>
      </w:pPr>
      <w:r w:rsidRPr="00543F5C">
        <w:rPr>
          <w:sz w:val="28"/>
          <w:szCs w:val="28"/>
        </w:rPr>
        <w:t xml:space="preserve">Test Criteria: </w:t>
      </w:r>
      <w:r w:rsidR="00F70390" w:rsidRPr="00543F5C">
        <w:rPr>
          <w:sz w:val="28"/>
          <w:szCs w:val="28"/>
        </w:rPr>
        <w:t>170.315.b.7 Data Segmentation for Privacy – Send</w:t>
      </w:r>
    </w:p>
    <w:p w:rsidR="00543F5C" w:rsidRPr="00543F5C" w:rsidRDefault="00543F5C" w:rsidP="00543F5C"/>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7008B2" w:rsidTr="00DC0225">
        <w:trPr>
          <w:trHeight w:val="331"/>
        </w:trPr>
        <w:tc>
          <w:tcPr>
            <w:tcW w:w="4045" w:type="dxa"/>
            <w:shd w:val="clear" w:color="auto" w:fill="FFFFFF" w:themeFill="background1"/>
          </w:tcPr>
          <w:p w:rsidR="007008B2" w:rsidRPr="00DC0225" w:rsidRDefault="007008B2" w:rsidP="007008B2">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7008B2" w:rsidRPr="00DC0225" w:rsidRDefault="007008B2" w:rsidP="007008B2">
            <w:pPr>
              <w:rPr>
                <w:rFonts w:ascii="Leelawadee UI" w:hAnsi="Leelawadee UI" w:cs="Leelawadee UI"/>
              </w:rPr>
            </w:pPr>
          </w:p>
        </w:tc>
      </w:tr>
      <w:tr w:rsidR="007008B2" w:rsidTr="00DC0225">
        <w:trPr>
          <w:trHeight w:val="331"/>
        </w:trPr>
        <w:tc>
          <w:tcPr>
            <w:tcW w:w="4045" w:type="dxa"/>
            <w:shd w:val="clear" w:color="auto" w:fill="FFFFFF" w:themeFill="background1"/>
          </w:tcPr>
          <w:p w:rsidR="007008B2" w:rsidRPr="00DC0225" w:rsidRDefault="007008B2" w:rsidP="007008B2">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7008B2" w:rsidRPr="00DC0225" w:rsidRDefault="007008B2" w:rsidP="007008B2">
            <w:pPr>
              <w:rPr>
                <w:rFonts w:ascii="Leelawadee UI" w:hAnsi="Leelawadee UI" w:cs="Leelawadee UI"/>
              </w:rPr>
            </w:pPr>
          </w:p>
        </w:tc>
      </w:tr>
      <w:tr w:rsidR="007008B2" w:rsidTr="00DC0225">
        <w:trPr>
          <w:trHeight w:val="331"/>
        </w:trPr>
        <w:tc>
          <w:tcPr>
            <w:tcW w:w="4045" w:type="dxa"/>
            <w:shd w:val="clear" w:color="auto" w:fill="FFFFFF" w:themeFill="background1"/>
          </w:tcPr>
          <w:p w:rsidR="007008B2" w:rsidRPr="00DC0225" w:rsidRDefault="007008B2" w:rsidP="007008B2">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7008B2" w:rsidRPr="00DC0225" w:rsidRDefault="007008B2" w:rsidP="007008B2">
            <w:pPr>
              <w:rPr>
                <w:rFonts w:ascii="Leelawadee UI" w:hAnsi="Leelawadee UI" w:cs="Leelawadee UI"/>
              </w:rPr>
            </w:pPr>
          </w:p>
        </w:tc>
      </w:tr>
      <w:tr w:rsidR="007008B2" w:rsidTr="00DC0225">
        <w:trPr>
          <w:trHeight w:val="331"/>
        </w:trPr>
        <w:tc>
          <w:tcPr>
            <w:tcW w:w="4045" w:type="dxa"/>
            <w:shd w:val="clear" w:color="auto" w:fill="FFFFFF" w:themeFill="background1"/>
          </w:tcPr>
          <w:p w:rsidR="007008B2" w:rsidRPr="00DC0225" w:rsidRDefault="007008B2" w:rsidP="007008B2">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7008B2" w:rsidRPr="00DC0225" w:rsidRDefault="007008B2" w:rsidP="007008B2">
            <w:pPr>
              <w:rPr>
                <w:rFonts w:ascii="Leelawadee UI" w:hAnsi="Leelawadee UI" w:cs="Leelawadee UI"/>
              </w:rPr>
            </w:pPr>
          </w:p>
        </w:tc>
      </w:tr>
      <w:tr w:rsidR="007008B2" w:rsidTr="00DC0225">
        <w:trPr>
          <w:trHeight w:val="350"/>
        </w:trPr>
        <w:tc>
          <w:tcPr>
            <w:tcW w:w="4045" w:type="dxa"/>
            <w:shd w:val="clear" w:color="auto" w:fill="FFFFFF" w:themeFill="background1"/>
          </w:tcPr>
          <w:p w:rsidR="007008B2" w:rsidRPr="00DC0225" w:rsidRDefault="007008B2" w:rsidP="007008B2">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7008B2" w:rsidRPr="00DC0225" w:rsidRDefault="007008B2" w:rsidP="007008B2">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7008B2" w:rsidTr="00DC0225">
        <w:trPr>
          <w:trHeight w:val="350"/>
        </w:trPr>
        <w:tc>
          <w:tcPr>
            <w:tcW w:w="4045" w:type="dxa"/>
            <w:shd w:val="clear" w:color="auto" w:fill="FFFFFF" w:themeFill="background1"/>
          </w:tcPr>
          <w:p w:rsidR="007008B2" w:rsidRPr="00DC0225" w:rsidRDefault="007008B2" w:rsidP="007008B2">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7008B2" w:rsidRPr="00DC0225" w:rsidRDefault="007008B2" w:rsidP="007008B2">
            <w:pPr>
              <w:rPr>
                <w:rFonts w:ascii="Leelawadee UI" w:hAnsi="Leelawadee UI" w:cs="Leelawadee UI"/>
              </w:rPr>
            </w:pPr>
          </w:p>
        </w:tc>
      </w:tr>
      <w:tr w:rsidR="007008B2" w:rsidTr="00DC0225">
        <w:trPr>
          <w:trHeight w:val="350"/>
        </w:trPr>
        <w:tc>
          <w:tcPr>
            <w:tcW w:w="4045" w:type="dxa"/>
            <w:shd w:val="clear" w:color="auto" w:fill="FFFFFF" w:themeFill="background1"/>
          </w:tcPr>
          <w:p w:rsidR="007008B2" w:rsidRPr="00DC0225" w:rsidRDefault="007008B2" w:rsidP="007008B2">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7008B2" w:rsidRPr="00DC0225" w:rsidRDefault="007008B2" w:rsidP="007008B2">
            <w:pPr>
              <w:rPr>
                <w:rFonts w:ascii="Leelawadee UI" w:hAnsi="Leelawadee UI" w:cs="Leelawadee UI"/>
              </w:rPr>
            </w:pPr>
          </w:p>
        </w:tc>
      </w:tr>
      <w:tr w:rsidR="007008B2" w:rsidTr="00DC0225">
        <w:trPr>
          <w:trHeight w:val="350"/>
        </w:trPr>
        <w:tc>
          <w:tcPr>
            <w:tcW w:w="4045" w:type="dxa"/>
            <w:shd w:val="clear" w:color="auto" w:fill="FFFFFF" w:themeFill="background1"/>
          </w:tcPr>
          <w:p w:rsidR="007008B2" w:rsidRPr="00DC0225" w:rsidRDefault="007008B2" w:rsidP="007008B2">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7008B2" w:rsidRPr="00DC0225" w:rsidRDefault="007008B2" w:rsidP="007008B2">
            <w:pPr>
              <w:rPr>
                <w:rFonts w:ascii="Leelawadee UI" w:hAnsi="Leelawadee UI" w:cs="Leelawadee UI"/>
              </w:rPr>
            </w:pPr>
          </w:p>
        </w:tc>
      </w:tr>
      <w:tr w:rsidR="007008B2" w:rsidTr="00DC0225">
        <w:trPr>
          <w:trHeight w:val="313"/>
        </w:trPr>
        <w:tc>
          <w:tcPr>
            <w:tcW w:w="4045" w:type="dxa"/>
            <w:shd w:val="clear" w:color="auto" w:fill="FFFFFF" w:themeFill="background1"/>
          </w:tcPr>
          <w:p w:rsidR="007008B2" w:rsidRPr="00DC0225" w:rsidRDefault="007008B2" w:rsidP="007008B2">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7008B2" w:rsidRPr="00DC0225" w:rsidRDefault="007008B2" w:rsidP="007008B2">
            <w:pPr>
              <w:rPr>
                <w:rFonts w:ascii="Leelawadee UI" w:hAnsi="Leelawadee UI" w:cs="Leelawadee UI"/>
              </w:rPr>
            </w:pPr>
          </w:p>
        </w:tc>
      </w:tr>
    </w:tbl>
    <w:p w:rsidR="000459C8" w:rsidRDefault="000459C8" w:rsidP="000459C8">
      <w:pPr>
        <w:pStyle w:val="Heading3"/>
      </w:pPr>
    </w:p>
    <w:p w:rsidR="000459C8" w:rsidRDefault="000459C8" w:rsidP="000459C8">
      <w:pPr>
        <w:pStyle w:val="Heading3"/>
      </w:pPr>
      <w:r>
        <w:t>Overview</w:t>
      </w:r>
    </w:p>
    <w:p w:rsidR="000459C8" w:rsidRDefault="000459C8" w:rsidP="000459C8">
      <w:r>
        <w:t>In this document you will find:</w:t>
      </w:r>
    </w:p>
    <w:p w:rsidR="000459C8" w:rsidRDefault="004658AD" w:rsidP="000459C8">
      <w:pPr>
        <w:pStyle w:val="ListParagraph"/>
        <w:numPr>
          <w:ilvl w:val="0"/>
          <w:numId w:val="32"/>
        </w:numPr>
      </w:pPr>
      <w:hyperlink w:anchor="_Test_Data_and" w:history="1">
        <w:r w:rsidR="000459C8">
          <w:rPr>
            <w:rStyle w:val="Hyperlink"/>
          </w:rPr>
          <w:t>Test Data and Test Tools</w:t>
        </w:r>
      </w:hyperlink>
    </w:p>
    <w:p w:rsidR="000459C8" w:rsidRDefault="004658AD" w:rsidP="000459C8">
      <w:pPr>
        <w:pStyle w:val="ListParagraph"/>
        <w:numPr>
          <w:ilvl w:val="0"/>
          <w:numId w:val="32"/>
        </w:numPr>
      </w:pPr>
      <w:hyperlink w:anchor="_Demonstrate_Standards_Support" w:history="1">
        <w:r w:rsidR="000459C8">
          <w:rPr>
            <w:rStyle w:val="Hyperlink"/>
          </w:rPr>
          <w:t>Standards Support</w:t>
        </w:r>
      </w:hyperlink>
    </w:p>
    <w:p w:rsidR="000459C8" w:rsidRPr="00241B8B" w:rsidRDefault="004658AD" w:rsidP="000459C8">
      <w:pPr>
        <w:pStyle w:val="ListParagraph"/>
        <w:numPr>
          <w:ilvl w:val="0"/>
          <w:numId w:val="32"/>
        </w:numPr>
        <w:rPr>
          <w:rStyle w:val="Hyperlink"/>
          <w:color w:val="auto"/>
          <w:u w:val="none"/>
        </w:rPr>
      </w:pPr>
      <w:hyperlink w:anchor="_170.315(b)(7)_Data_Segmentation" w:history="1">
        <w:r w:rsidR="000459C8">
          <w:rPr>
            <w:rStyle w:val="Hyperlink"/>
          </w:rPr>
          <w:t>Drummond Test Report (Instructions, Expected Results, Points to Remember)</w:t>
        </w:r>
      </w:hyperlink>
    </w:p>
    <w:p w:rsidR="000459C8" w:rsidRPr="00241B8B" w:rsidRDefault="004658AD" w:rsidP="000459C8">
      <w:pPr>
        <w:pStyle w:val="ListParagraph"/>
        <w:numPr>
          <w:ilvl w:val="0"/>
          <w:numId w:val="32"/>
        </w:numPr>
        <w:rPr>
          <w:rStyle w:val="Hyperlink"/>
          <w:color w:val="auto"/>
          <w:u w:val="none"/>
        </w:rPr>
      </w:pPr>
      <w:hyperlink w:anchor="_Test_Procedures" w:history="1">
        <w:r w:rsidR="000459C8" w:rsidRPr="00241B8B">
          <w:rPr>
            <w:rStyle w:val="Hyperlink"/>
          </w:rPr>
          <w:t>Test Procedures</w:t>
        </w:r>
      </w:hyperlink>
    </w:p>
    <w:p w:rsidR="000459C8" w:rsidRDefault="004658AD" w:rsidP="000459C8">
      <w:pPr>
        <w:pStyle w:val="ListParagraph"/>
        <w:numPr>
          <w:ilvl w:val="0"/>
          <w:numId w:val="32"/>
        </w:numPr>
      </w:pPr>
      <w:hyperlink w:anchor="_Appendix_A:_Testing" w:history="1">
        <w:r w:rsidR="000459C8" w:rsidRPr="00241B8B">
          <w:rPr>
            <w:rStyle w:val="Hyperlink"/>
          </w:rPr>
          <w:t>Appendix A: Testing Guide</w:t>
        </w:r>
      </w:hyperlink>
    </w:p>
    <w:p w:rsidR="000459C8" w:rsidRDefault="004658AD" w:rsidP="000459C8">
      <w:pPr>
        <w:pStyle w:val="ListParagraph"/>
        <w:numPr>
          <w:ilvl w:val="0"/>
          <w:numId w:val="32"/>
        </w:numPr>
      </w:pPr>
      <w:hyperlink w:anchor="_Appendix_B:_ONC" w:history="1">
        <w:r w:rsidR="000459C8">
          <w:rPr>
            <w:rStyle w:val="Hyperlink"/>
          </w:rPr>
          <w:t>Appendix B: ONC Criteria</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9B1B89" w:rsidP="009D5A77">
      <w:pPr>
        <w:ind w:left="720"/>
      </w:pPr>
      <w:r>
        <w:t>1.1</w:t>
      </w:r>
      <w:bookmarkStart w:id="1" w:name="_GoBack"/>
      <w:bookmarkEnd w:id="1"/>
    </w:p>
    <w:p w:rsidR="009D5A77" w:rsidRPr="00FD7F7E" w:rsidRDefault="009D5A77" w:rsidP="00FD7F7E"/>
    <w:p w:rsidR="0019552B" w:rsidRDefault="0019552B" w:rsidP="0019552B">
      <w:pPr>
        <w:pStyle w:val="Heading3"/>
      </w:pPr>
      <w:bookmarkStart w:id="2"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0459C8">
        <w:t>Health IT developer</w:t>
      </w:r>
      <w:r w:rsidR="001D76DC">
        <w:t xml:space="preserve"> or Participant u</w:t>
      </w:r>
      <w:r w:rsidR="007902A0">
        <w:t>nder</w:t>
      </w:r>
      <w:r w:rsidR="001D76DC">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FD7F7E" w:rsidRDefault="00FD7F7E" w:rsidP="00FD7F7E">
      <w:bookmarkStart w:id="3" w:name="OLE_LINK1"/>
      <w:bookmarkEnd w:id="2"/>
    </w:p>
    <w:p w:rsidR="000459C8" w:rsidRDefault="000459C8">
      <w:pPr>
        <w:rPr>
          <w:rFonts w:ascii="Arial" w:hAnsi="Arial" w:cs="Arial"/>
          <w:b/>
          <w:bCs/>
          <w:kern w:val="32"/>
          <w:sz w:val="32"/>
          <w:szCs w:val="32"/>
        </w:rPr>
      </w:pPr>
      <w:r>
        <w:br w:type="page"/>
      </w:r>
    </w:p>
    <w:p w:rsidR="009D5A77" w:rsidRDefault="009D5A77" w:rsidP="000C42D5">
      <w:pPr>
        <w:pStyle w:val="Heading1"/>
        <w:ind w:hanging="90"/>
      </w:pPr>
      <w:bookmarkStart w:id="4" w:name="_Test_Data_and"/>
      <w:bookmarkEnd w:id="4"/>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336D91">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626AE4">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0459C8">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626AE4">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rPr>
            </w:pPr>
            <w:r w:rsidRPr="002A60CE">
              <w:rPr>
                <w:rFonts w:ascii="Leelawadee UI" w:hAnsi="Leelawadee UI" w:cs="Leelawadee UI"/>
                <w:b/>
              </w:rPr>
              <w:t>Pre-Test Data Setup:</w:t>
            </w:r>
          </w:p>
          <w:p w:rsidR="009D5A77" w:rsidRPr="002A60CE" w:rsidRDefault="00626AE4" w:rsidP="00E71E5F">
            <w:pPr>
              <w:pStyle w:val="ListParagraph"/>
              <w:ind w:left="702"/>
            </w:pPr>
            <w:r w:rsidRPr="0077288E">
              <w:rPr>
                <w:rFonts w:ascii="Leelawadee UI" w:hAnsi="Leelawadee UI" w:cs="Leelawadee UI"/>
              </w:rPr>
              <w:t>Test Data</w:t>
            </w:r>
            <w:r>
              <w:rPr>
                <w:rFonts w:ascii="Leelawadee UI" w:hAnsi="Leelawadee UI" w:cs="Leelawadee UI"/>
              </w:rPr>
              <w:t xml:space="preserve"> is downloaded for the applicable setting from the ETT</w:t>
            </w:r>
            <w:r w:rsidRPr="0077288E">
              <w:rPr>
                <w:rFonts w:ascii="Leelawadee UI" w:hAnsi="Leelawadee UI" w:cs="Leelawadee UI"/>
              </w:rPr>
              <w:t xml:space="preserve"> </w:t>
            </w:r>
            <w:hyperlink r:id="rId8" w:anchor="/validators" w:history="1">
              <w:r w:rsidRPr="00B924E2">
                <w:rPr>
                  <w:rStyle w:val="Hyperlink"/>
                </w:rPr>
                <w:t>C-CDA R2.1 Validator</w:t>
              </w:r>
            </w:hyperlink>
            <w:r>
              <w:rPr>
                <w:rFonts w:ascii="Leelawadee UI" w:hAnsi="Leelawadee UI" w:cs="Leelawadee UI"/>
              </w:rPr>
              <w:t xml:space="preserve"> using the “Sender SUT Test Data” selection. The test data will be loaded prior to </w:t>
            </w:r>
            <w:r w:rsidRPr="00F44289">
              <w:rPr>
                <w:rFonts w:ascii="Leelawadee UI" w:hAnsi="Leelawadee UI" w:cs="Leelawadee UI"/>
              </w:rPr>
              <w:t>test event</w:t>
            </w:r>
            <w:r>
              <w:rPr>
                <w:rFonts w:ascii="Leelawadee UI" w:hAnsi="Leelawadee UI" w:cs="Leelawadee UI"/>
              </w:rPr>
              <w:t>.</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0F59B3" w:rsidRPr="002A60CE" w:rsidRDefault="00626AE4" w:rsidP="000459C8">
            <w:pPr>
              <w:pStyle w:val="ListParagraph"/>
              <w:rPr>
                <w:b/>
              </w:rPr>
            </w:pPr>
            <w:r>
              <w:rPr>
                <w:rFonts w:ascii="Leelawadee UI" w:hAnsi="Leelawadee UI" w:cs="Leelawadee UI"/>
              </w:rPr>
              <w:t>Test data derived from Edge Test Tool (ETT)</w:t>
            </w:r>
            <w:r w:rsidRPr="00835640">
              <w:rPr>
                <w:rFonts w:ascii="Leelawadee UI" w:hAnsi="Leelawadee UI" w:cs="Leelawadee UI"/>
              </w:rPr>
              <w:t>.</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Tools:</w:t>
            </w:r>
          </w:p>
          <w:p w:rsidR="0040212D" w:rsidRPr="002A60CE" w:rsidRDefault="000459C8" w:rsidP="000459C8">
            <w:pPr>
              <w:pStyle w:val="ListParagraph"/>
            </w:pPr>
            <w:r>
              <w:rPr>
                <w:rFonts w:ascii="Leelawadee UI" w:hAnsi="Leelawadee UI" w:cs="Leelawadee UI"/>
              </w:rPr>
              <w:t xml:space="preserve">Edge Test Tool – Message Validators: </w:t>
            </w:r>
            <w:hyperlink r:id="rId9" w:anchor="/validators" w:history="1">
              <w:r>
                <w:rPr>
                  <w:rStyle w:val="Hyperlink"/>
                </w:rPr>
                <w:t>C-CDA R2.1 Validator</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5" w:name="_Demonstrate_Standards_Support"/>
      <w:bookmarkEnd w:id="5"/>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300"/>
      </w:tblGrid>
      <w:tr w:rsidR="00124587" w:rsidTr="00FD3C7D">
        <w:trPr>
          <w:trHeight w:val="432"/>
        </w:trPr>
        <w:tc>
          <w:tcPr>
            <w:tcW w:w="243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300" w:type="dxa"/>
            <w:shd w:val="clear" w:color="auto" w:fill="DBE5F1" w:themeFill="accent1" w:themeFillTint="33"/>
          </w:tcPr>
          <w:p w:rsidR="00124587" w:rsidRPr="00255DC9" w:rsidRDefault="00124587" w:rsidP="001A7937">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r w:rsidR="000F59B3" w:rsidRPr="00255DC9">
              <w:rPr>
                <w:rFonts w:ascii="Leelawadee UI" w:hAnsi="Leelawadee UI" w:cs="Leelawadee UI"/>
              </w:rPr>
              <w:t xml:space="preserve">  </w:t>
            </w:r>
          </w:p>
        </w:tc>
      </w:tr>
      <w:tr w:rsidR="00124587" w:rsidTr="00BB36BF">
        <w:trPr>
          <w:trHeight w:val="432"/>
        </w:trPr>
        <w:tc>
          <w:tcPr>
            <w:tcW w:w="8730" w:type="dxa"/>
            <w:gridSpan w:val="2"/>
            <w:shd w:val="clear" w:color="auto" w:fill="DBE5F1" w:themeFill="accent1" w:themeFillTint="33"/>
          </w:tcPr>
          <w:p w:rsidR="00124587" w:rsidRPr="00EE7D84" w:rsidRDefault="00124587" w:rsidP="000144AF">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0144AF">
              <w:rPr>
                <w:rFonts w:ascii="Leelawadee UI" w:hAnsi="Leelawadee UI" w:cs="Leelawadee UI"/>
              </w:rPr>
              <w:t>Implement s</w:t>
            </w:r>
            <w:r w:rsidR="000459C8">
              <w:rPr>
                <w:rFonts w:ascii="Leelawadee UI" w:hAnsi="Leelawadee UI" w:cs="Leelawadee UI"/>
              </w:rPr>
              <w:t xml:space="preserve">tandards to demonstrate </w:t>
            </w:r>
            <w:r w:rsidR="00E42D22">
              <w:rPr>
                <w:rFonts w:ascii="Leelawadee UI" w:hAnsi="Leelawadee UI" w:cs="Leelawadee UI"/>
              </w:rPr>
              <w:t>support</w:t>
            </w:r>
            <w:r w:rsidR="000459C8">
              <w:rPr>
                <w:rFonts w:ascii="Leelawadee UI" w:hAnsi="Leelawadee UI" w:cs="Leelawadee UI"/>
              </w:rPr>
              <w:t xml:space="preserve"> for</w:t>
            </w:r>
            <w:r w:rsidR="00E42D22">
              <w:rPr>
                <w:rFonts w:ascii="Leelawadee UI" w:hAnsi="Leelawadee UI" w:cs="Leelawadee UI"/>
              </w:rPr>
              <w:t xml:space="preserve"> the C-CDA Release 2.1 format with Data Segmentation for Privacy (DS4P) Release tagging.  </w:t>
            </w:r>
          </w:p>
        </w:tc>
      </w:tr>
    </w:tbl>
    <w:p w:rsidR="00124587" w:rsidRDefault="00124587"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689"/>
        <w:gridCol w:w="5310"/>
      </w:tblGrid>
      <w:tr w:rsidR="00CD774E" w:rsidRPr="005F4354" w:rsidTr="00CD774E">
        <w:trPr>
          <w:trHeight w:val="432"/>
        </w:trPr>
        <w:tc>
          <w:tcPr>
            <w:tcW w:w="8455" w:type="dxa"/>
            <w:gridSpan w:val="3"/>
            <w:shd w:val="clear" w:color="auto" w:fill="DBE5F1" w:themeFill="accent1" w:themeFillTint="33"/>
          </w:tcPr>
          <w:p w:rsidR="00CD774E" w:rsidRPr="005F4354" w:rsidRDefault="00CD774E" w:rsidP="00BB36BF">
            <w:pPr>
              <w:rPr>
                <w:rFonts w:ascii="Leelawadee UI" w:hAnsi="Leelawadee UI" w:cs="Leelawadee UI"/>
                <w:b/>
              </w:rPr>
            </w:pPr>
            <w:r w:rsidRPr="00CD774E">
              <w:rPr>
                <w:rFonts w:ascii="Leelawadee UI" w:hAnsi="Leelawadee UI" w:cs="Leelawadee UI"/>
                <w:b/>
              </w:rPr>
              <w:t>§170.205 Content Exchange Standards – Patient Summary Record</w:t>
            </w:r>
          </w:p>
        </w:tc>
      </w:tr>
      <w:tr w:rsidR="000459C8" w:rsidTr="000459C8">
        <w:trPr>
          <w:trHeight w:val="432"/>
        </w:trPr>
        <w:sdt>
          <w:sdtPr>
            <w:id w:val="-41057905"/>
            <w14:checkbox>
              <w14:checked w14:val="0"/>
              <w14:checkedState w14:val="2612" w14:font="Arial Unicode MS"/>
              <w14:uncheckedState w14:val="2610" w14:font="Arial Unicode MS"/>
            </w14:checkbox>
          </w:sdtPr>
          <w:sdtEndPr/>
          <w:sdtContent>
            <w:tc>
              <w:tcPr>
                <w:tcW w:w="456" w:type="dxa"/>
              </w:tcPr>
              <w:p w:rsidR="000459C8" w:rsidRDefault="000459C8" w:rsidP="0092448C">
                <w:r w:rsidRPr="000558FE">
                  <w:rPr>
                    <w:rFonts w:ascii="MS Gothic" w:eastAsia="MS Gothic" w:hAnsi="MS Gothic" w:hint="eastAsia"/>
                  </w:rPr>
                  <w:t>☐</w:t>
                </w:r>
              </w:p>
            </w:tc>
          </w:sdtContent>
        </w:sdt>
        <w:tc>
          <w:tcPr>
            <w:tcW w:w="2689" w:type="dxa"/>
          </w:tcPr>
          <w:p w:rsidR="000459C8" w:rsidRPr="00E074CB" w:rsidRDefault="000459C8" w:rsidP="000459C8">
            <w:pPr>
              <w:rPr>
                <w:color w:val="000000" w:themeColor="text1"/>
              </w:rPr>
            </w:pPr>
            <w:r w:rsidRPr="000459C8">
              <w:rPr>
                <w:color w:val="000000" w:themeColor="text1"/>
              </w:rPr>
              <w:t>§170.205(a)(4)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310" w:type="dxa"/>
          </w:tcPr>
          <w:p w:rsidR="000459C8" w:rsidRPr="00E074CB" w:rsidRDefault="000459C8" w:rsidP="0092448C">
            <w:pPr>
              <w:rPr>
                <w:b/>
                <w:color w:val="000000" w:themeColor="text1"/>
              </w:rPr>
            </w:pPr>
            <w:r w:rsidRPr="00E074CB">
              <w:rPr>
                <w:color w:val="000000" w:themeColor="text1"/>
              </w:rPr>
              <w:t>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tc>
      </w:tr>
      <w:tr w:rsidR="000459C8" w:rsidRPr="00E074CB" w:rsidTr="000459C8">
        <w:trPr>
          <w:trHeight w:val="432"/>
        </w:trPr>
        <w:sdt>
          <w:sdtPr>
            <w:id w:val="-682278107"/>
            <w14:checkbox>
              <w14:checked w14:val="0"/>
              <w14:checkedState w14:val="2612" w14:font="Arial Unicode MS"/>
              <w14:uncheckedState w14:val="2610" w14:font="Arial Unicode MS"/>
            </w14:checkbox>
          </w:sdtPr>
          <w:sdtEndPr/>
          <w:sdtContent>
            <w:tc>
              <w:tcPr>
                <w:tcW w:w="456" w:type="dxa"/>
              </w:tcPr>
              <w:p w:rsidR="000459C8" w:rsidRDefault="000459C8" w:rsidP="0092448C">
                <w:r>
                  <w:rPr>
                    <w:rFonts w:ascii="MS Gothic" w:eastAsia="MS Gothic" w:hAnsi="MS Gothic" w:hint="eastAsia"/>
                  </w:rPr>
                  <w:t>☐</w:t>
                </w:r>
              </w:p>
            </w:tc>
          </w:sdtContent>
        </w:sdt>
        <w:tc>
          <w:tcPr>
            <w:tcW w:w="2689" w:type="dxa"/>
          </w:tcPr>
          <w:p w:rsidR="000459C8" w:rsidRPr="00864543" w:rsidRDefault="000459C8" w:rsidP="000459C8">
            <w:pPr>
              <w:rPr>
                <w:color w:val="000000" w:themeColor="text1"/>
              </w:rPr>
            </w:pPr>
            <w:r w:rsidRPr="000459C8">
              <w:rPr>
                <w:color w:val="000000" w:themeColor="text1"/>
              </w:rPr>
              <w:t>§170.205(o)(1)</w:t>
            </w:r>
            <w:r w:rsidRPr="00864543">
              <w:rPr>
                <w:b/>
                <w:color w:val="000000" w:themeColor="text1"/>
              </w:rPr>
              <w:t xml:space="preserve"> </w:t>
            </w:r>
            <w:r>
              <w:rPr>
                <w:b/>
                <w:color w:val="000000" w:themeColor="text1"/>
              </w:rPr>
              <w:t xml:space="preserve"> </w:t>
            </w:r>
            <w:r w:rsidRPr="00864543">
              <w:rPr>
                <w:color w:val="000000" w:themeColor="text1"/>
              </w:rPr>
              <w:t xml:space="preserve"> </w:t>
            </w:r>
          </w:p>
        </w:tc>
        <w:tc>
          <w:tcPr>
            <w:tcW w:w="5310" w:type="dxa"/>
          </w:tcPr>
          <w:p w:rsidR="000459C8" w:rsidRPr="00E074CB" w:rsidRDefault="000459C8" w:rsidP="00374F3B">
            <w:pPr>
              <w:rPr>
                <w:b/>
                <w:color w:val="000000" w:themeColor="text1"/>
              </w:rPr>
            </w:pPr>
            <w:r w:rsidRPr="00864543">
              <w:rPr>
                <w:color w:val="000000" w:themeColor="text1"/>
              </w:rPr>
              <w:t>HL7 Implementation Guide: Data Segmentation for Privacy (DS4P), Release 1.</w:t>
            </w:r>
          </w:p>
        </w:tc>
      </w:tr>
    </w:tbl>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FD7F7E" w:rsidRDefault="00FD7F7E" w:rsidP="00FD7F7E"/>
    <w:p w:rsidR="00DD40F3" w:rsidRDefault="00DD40F3" w:rsidP="00FD7F7E"/>
    <w:p w:rsidR="00DD40F3" w:rsidRDefault="00DD40F3" w:rsidP="00FD7F7E"/>
    <w:p w:rsidR="00DD40F3" w:rsidRDefault="00DD40F3" w:rsidP="00FD7F7E"/>
    <w:p w:rsidR="00DD40F3" w:rsidRDefault="00DD40F3" w:rsidP="00FD7F7E"/>
    <w:p w:rsidR="00DD40F3" w:rsidRDefault="00DD40F3" w:rsidP="00FD7F7E"/>
    <w:p w:rsidR="00CA2334" w:rsidRDefault="00CA2334" w:rsidP="00FD7F7E"/>
    <w:p w:rsidR="00CA2334" w:rsidRDefault="00CA2334" w:rsidP="00FD7F7E"/>
    <w:p w:rsidR="00CA2334" w:rsidRDefault="00CA2334" w:rsidP="00FD7F7E"/>
    <w:p w:rsidR="00255DC9" w:rsidRDefault="002B7F8F" w:rsidP="003451C9">
      <w:pPr>
        <w:pStyle w:val="Heading1"/>
      </w:pPr>
      <w:bookmarkStart w:id="6" w:name="_170.315(b)(7)_Data_Segmentation"/>
      <w:bookmarkEnd w:id="6"/>
      <w:r>
        <w:lastRenderedPageBreak/>
        <w:t>170.315(b</w:t>
      </w:r>
      <w:proofErr w:type="gramStart"/>
      <w:r>
        <w:t>)(</w:t>
      </w:r>
      <w:proofErr w:type="gramEnd"/>
      <w:r w:rsidRPr="002B7F8F">
        <w:t>7</w:t>
      </w:r>
      <w:r>
        <w:t>)</w:t>
      </w:r>
      <w:r w:rsidRPr="002B7F8F">
        <w:t xml:space="preserve"> Data Segmentation for Privacy – Send</w:t>
      </w:r>
    </w:p>
    <w:p w:rsidR="00EA604C" w:rsidRPr="00EA604C" w:rsidRDefault="00EA604C" w:rsidP="00EA604C"/>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362E3C" w:rsidTr="006A16E9">
        <w:trPr>
          <w:trHeight w:val="432"/>
        </w:trPr>
        <w:tc>
          <w:tcPr>
            <w:tcW w:w="252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621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838CB" w:rsidRPr="00D052DB" w:rsidRDefault="00362E3C" w:rsidP="00EA604C">
            <w:pPr>
              <w:rPr>
                <w:rFonts w:ascii="Leelawadee UI" w:hAnsi="Leelawadee UI" w:cs="Leelawadee UI"/>
              </w:rPr>
            </w:pPr>
            <w:r w:rsidRPr="009A6B11">
              <w:rPr>
                <w:rFonts w:ascii="Leelawadee UI" w:hAnsi="Leelawadee UI" w:cs="Leelawadee UI"/>
                <w:b/>
              </w:rPr>
              <w:t>Instructions:</w:t>
            </w:r>
            <w:r w:rsidRPr="00255DC9">
              <w:rPr>
                <w:rFonts w:ascii="Leelawadee UI" w:hAnsi="Leelawadee UI" w:cs="Leelawadee UI"/>
              </w:rPr>
              <w:t xml:space="preserve"> </w:t>
            </w:r>
            <w:r w:rsidR="00EA604C">
              <w:t>User creates</w:t>
            </w:r>
            <w:r w:rsidR="009A6B11" w:rsidRPr="009A6B11">
              <w:t xml:space="preserve"> a</w:t>
            </w:r>
            <w:r w:rsidR="009A6B11">
              <w:t xml:space="preserve"> C-CDA R2.1</w:t>
            </w:r>
            <w:r w:rsidR="009A6B11" w:rsidRPr="009A6B11">
              <w:t xml:space="preserve"> summary record that is tagged as restricted and subject to restrictions on re-disclosure according to the</w:t>
            </w:r>
            <w:r w:rsidR="009A6B11">
              <w:t xml:space="preserve"> DS4P R1.</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DD410C">
              <w:rPr>
                <w:rFonts w:ascii="Leelawadee UI" w:hAnsi="Leelawadee UI" w:cs="Leelawadee UI"/>
                <w:b/>
              </w:rPr>
              <w:t>Expected Test Result:</w:t>
            </w:r>
            <w:r w:rsidRPr="00255DC9">
              <w:rPr>
                <w:rFonts w:ascii="Leelawadee UI" w:hAnsi="Leelawadee UI" w:cs="Leelawadee UI"/>
                <w:b/>
              </w:rPr>
              <w:t xml:space="preserve"> </w:t>
            </w:r>
          </w:p>
          <w:p w:rsidR="00904976" w:rsidRDefault="00904976" w:rsidP="00904976">
            <w:pPr>
              <w:numPr>
                <w:ilvl w:val="0"/>
                <w:numId w:val="27"/>
              </w:numPr>
            </w:pPr>
            <w:r w:rsidRPr="00904976">
              <w:t xml:space="preserve">Enable a user to create a summary record formatted in accordance with the standard adopted in §170.205(a)(4) that is tagged </w:t>
            </w:r>
            <w:r w:rsidR="00495F9E">
              <w:t xml:space="preserve">at the document-level </w:t>
            </w:r>
            <w:r w:rsidRPr="00904976">
              <w:t>as restricted and subject to re-disclosure</w:t>
            </w:r>
            <w:r w:rsidR="00495F9E">
              <w:t xml:space="preserve"> restrictions </w:t>
            </w:r>
            <w:r w:rsidRPr="00904976">
              <w:t>according to the standard adopted at §170.205(o)(1).</w:t>
            </w:r>
          </w:p>
          <w:p w:rsidR="00B5370B" w:rsidRDefault="00550ABD" w:rsidP="0076117A">
            <w:pPr>
              <w:numPr>
                <w:ilvl w:val="0"/>
                <w:numId w:val="27"/>
              </w:numPr>
            </w:pPr>
            <w:r>
              <w:t>The generated C-CDA includes the following templates:</w:t>
            </w:r>
          </w:p>
          <w:p w:rsidR="00550ABD" w:rsidRDefault="00550ABD" w:rsidP="00550ABD">
            <w:pPr>
              <w:numPr>
                <w:ilvl w:val="1"/>
                <w:numId w:val="27"/>
              </w:numPr>
            </w:pPr>
            <w:r>
              <w:t>Privacy Segmented Document Template;</w:t>
            </w:r>
          </w:p>
          <w:p w:rsidR="00550ABD" w:rsidRDefault="00550ABD" w:rsidP="00550ABD">
            <w:pPr>
              <w:numPr>
                <w:ilvl w:val="1"/>
                <w:numId w:val="27"/>
              </w:numPr>
            </w:pPr>
            <w:r>
              <w:t>CDA Mandatory Document Provenance;</w:t>
            </w:r>
          </w:p>
          <w:p w:rsidR="00550ABD" w:rsidRDefault="00550ABD" w:rsidP="00550ABD">
            <w:pPr>
              <w:numPr>
                <w:ilvl w:val="1"/>
                <w:numId w:val="27"/>
              </w:numPr>
            </w:pPr>
            <w:r>
              <w:t>CDA Mandatory Document Assigned Author Template; and</w:t>
            </w:r>
          </w:p>
          <w:p w:rsidR="00550ABD" w:rsidRDefault="00550ABD" w:rsidP="00550ABD">
            <w:pPr>
              <w:numPr>
                <w:ilvl w:val="1"/>
                <w:numId w:val="27"/>
              </w:numPr>
            </w:pPr>
            <w:r>
              <w:t>If a document contains information protected by specific privacy policies, CDA Privacy Markings Section</w:t>
            </w:r>
          </w:p>
          <w:p w:rsidR="00550ABD" w:rsidRDefault="00550ABD" w:rsidP="00550ABD">
            <w:pPr>
              <w:numPr>
                <w:ilvl w:val="0"/>
                <w:numId w:val="27"/>
              </w:numPr>
            </w:pPr>
            <w:r>
              <w:t>The generated C-CDA includes the following data elements:</w:t>
            </w:r>
          </w:p>
          <w:p w:rsidR="00550ABD" w:rsidRDefault="00550ABD" w:rsidP="00550ABD">
            <w:pPr>
              <w:numPr>
                <w:ilvl w:val="1"/>
                <w:numId w:val="27"/>
              </w:numPr>
            </w:pPr>
            <w:r>
              <w:t xml:space="preserve">The originating document individual author or organization; </w:t>
            </w:r>
          </w:p>
          <w:p w:rsidR="00550ABD" w:rsidRDefault="00550ABD" w:rsidP="00A236C6">
            <w:pPr>
              <w:numPr>
                <w:ilvl w:val="1"/>
                <w:numId w:val="27"/>
              </w:numPr>
            </w:pPr>
            <w:r>
              <w:t xml:space="preserve">Confidentiality Code constrained in accordance with the standard specified in </w:t>
            </w:r>
            <w:r w:rsidR="00A236C6" w:rsidRPr="00A236C6">
              <w:t>DS4P R1</w:t>
            </w:r>
            <w:r>
              <w:t xml:space="preserve">; and </w:t>
            </w:r>
          </w:p>
          <w:p w:rsidR="00550ABD" w:rsidRDefault="00550ABD" w:rsidP="00550ABD">
            <w:pPr>
              <w:numPr>
                <w:ilvl w:val="1"/>
                <w:numId w:val="27"/>
              </w:numPr>
            </w:pPr>
            <w:r>
              <w:t>If a document contains information protected by specific privacy policies, the privacy text.</w:t>
            </w:r>
          </w:p>
          <w:p w:rsidR="00A236C6" w:rsidRPr="00D052DB" w:rsidRDefault="00A236C6" w:rsidP="003B7EDE">
            <w:pPr>
              <w:numPr>
                <w:ilvl w:val="0"/>
                <w:numId w:val="27"/>
              </w:numPr>
            </w:pPr>
            <w:r>
              <w:t>The C-CDA pas</w:t>
            </w:r>
            <w:r w:rsidR="003B7EDE">
              <w:t>se</w:t>
            </w:r>
            <w:r>
              <w:t>s the C-CDA R2.1 Edge message validation tool</w:t>
            </w:r>
            <w:r w:rsidR="003B7EDE">
              <w:t xml:space="preserve"> without errors to verify conformance to required standards.</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sidRPr="00DD410C">
              <w:rPr>
                <w:rFonts w:ascii="Leelawadee UI" w:hAnsi="Leelawadee UI" w:cs="Leelawadee UI"/>
                <w:b/>
              </w:rPr>
              <w:t>Points to Remember:</w:t>
            </w:r>
          </w:p>
          <w:p w:rsidR="00E22856" w:rsidRPr="00D052DB" w:rsidRDefault="00994B3B" w:rsidP="009C7F58">
            <w:pPr>
              <w:numPr>
                <w:ilvl w:val="0"/>
                <w:numId w:val="30"/>
              </w:numPr>
            </w:pPr>
            <w:r>
              <w:t>Not applicable.</w:t>
            </w:r>
          </w:p>
        </w:tc>
      </w:tr>
    </w:tbl>
    <w:p w:rsidR="00362E3C" w:rsidRDefault="00362E3C"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6A16E9" w:rsidRDefault="006A16E9" w:rsidP="004151F1"/>
    <w:p w:rsidR="004151F1" w:rsidRDefault="006A16E9" w:rsidP="004151F1">
      <w:pPr>
        <w:pStyle w:val="Heading3"/>
        <w:rPr>
          <w:u w:val="single"/>
        </w:rPr>
      </w:pPr>
      <w:bookmarkStart w:id="7" w:name="_Test_Procedures"/>
      <w:bookmarkEnd w:id="7"/>
      <w:r w:rsidRPr="00207BB2">
        <w:rPr>
          <w:u w:val="single"/>
        </w:rPr>
        <w:lastRenderedPageBreak/>
        <w:t>Test Procedures</w:t>
      </w:r>
    </w:p>
    <w:p w:rsidR="006A16E9" w:rsidRDefault="006A16E9" w:rsidP="006A16E9"/>
    <w:p w:rsidR="00D725EE" w:rsidRPr="003E02C0" w:rsidRDefault="003E02C0" w:rsidP="006A16E9">
      <w:pPr>
        <w:rPr>
          <w:b/>
        </w:rPr>
      </w:pPr>
      <w:r w:rsidRPr="003E02C0">
        <w:rPr>
          <w:b/>
        </w:rPr>
        <w:t>1.1</w:t>
      </w:r>
      <w:r w:rsidR="002959F8">
        <w:rPr>
          <w:b/>
        </w:rPr>
        <w:t xml:space="preserve"> Data Segmentation for Privacy:</w:t>
      </w:r>
      <w:r w:rsidRPr="003E02C0">
        <w:rPr>
          <w:b/>
        </w:rPr>
        <w:t xml:space="preserve"> Send</w:t>
      </w:r>
    </w:p>
    <w:tbl>
      <w:tblPr>
        <w:tblStyle w:val="TableGrid"/>
        <w:tblW w:w="0" w:type="auto"/>
        <w:tblLook w:val="04A0" w:firstRow="1" w:lastRow="0" w:firstColumn="1" w:lastColumn="0" w:noHBand="0" w:noVBand="1"/>
      </w:tblPr>
      <w:tblGrid>
        <w:gridCol w:w="828"/>
        <w:gridCol w:w="7668"/>
      </w:tblGrid>
      <w:tr w:rsidR="00904976" w:rsidRPr="000D3886" w:rsidTr="00904976">
        <w:tc>
          <w:tcPr>
            <w:tcW w:w="828" w:type="dxa"/>
            <w:tcBorders>
              <w:right w:val="single" w:sz="4" w:space="0" w:color="auto"/>
            </w:tcBorders>
          </w:tcPr>
          <w:p w:rsidR="00904976" w:rsidRDefault="00904976" w:rsidP="00664ADF">
            <w:pPr>
              <w:spacing w:line="360" w:lineRule="auto"/>
            </w:pPr>
          </w:p>
          <w:p w:rsidR="001A3503" w:rsidRDefault="001A3503" w:rsidP="00664ADF">
            <w:pPr>
              <w:spacing w:line="360" w:lineRule="auto"/>
            </w:pPr>
          </w:p>
          <w:p w:rsidR="001A3503" w:rsidRDefault="001A3503" w:rsidP="00664ADF">
            <w:pPr>
              <w:spacing w:line="360" w:lineRule="auto"/>
            </w:pPr>
          </w:p>
          <w:p w:rsidR="00E77966" w:rsidRDefault="00E77966" w:rsidP="00664ADF">
            <w:pPr>
              <w:spacing w:line="360" w:lineRule="auto"/>
            </w:pPr>
          </w:p>
          <w:p w:rsidR="00E77966" w:rsidRDefault="00E77966" w:rsidP="00664ADF">
            <w:pPr>
              <w:spacing w:line="360" w:lineRule="auto"/>
            </w:pPr>
          </w:p>
          <w:p w:rsidR="00E77966" w:rsidRDefault="00E77966" w:rsidP="00664ADF">
            <w:pPr>
              <w:spacing w:line="360" w:lineRule="auto"/>
            </w:pPr>
          </w:p>
          <w:sdt>
            <w:sdtPr>
              <w:id w:val="1080945277"/>
              <w14:checkbox>
                <w14:checked w14:val="0"/>
                <w14:checkedState w14:val="2612" w14:font="Arial Unicode MS"/>
                <w14:uncheckedState w14:val="2610" w14:font="Arial Unicode MS"/>
              </w14:checkbox>
            </w:sdtPr>
            <w:sdtEndPr/>
            <w:sdtContent>
              <w:p w:rsidR="00E77966" w:rsidRDefault="00E77966" w:rsidP="00E77966">
                <w:pPr>
                  <w:spacing w:line="360" w:lineRule="auto"/>
                </w:pPr>
                <w:r>
                  <w:rPr>
                    <w:rFonts w:ascii="MS Gothic" w:eastAsia="MS Gothic" w:hAnsi="MS Gothic" w:hint="eastAsia"/>
                  </w:rPr>
                  <w:t>☐</w:t>
                </w:r>
              </w:p>
            </w:sdtContent>
          </w:sdt>
          <w:p w:rsidR="00E77966" w:rsidRDefault="00E77966" w:rsidP="00664ADF">
            <w:pPr>
              <w:spacing w:line="360" w:lineRule="auto"/>
            </w:pPr>
          </w:p>
        </w:tc>
        <w:tc>
          <w:tcPr>
            <w:tcW w:w="7668" w:type="dxa"/>
            <w:tcBorders>
              <w:left w:val="single" w:sz="4" w:space="0" w:color="auto"/>
            </w:tcBorders>
            <w:vAlign w:val="center"/>
          </w:tcPr>
          <w:p w:rsidR="00E77966" w:rsidRDefault="00904976" w:rsidP="00904976">
            <w:pPr>
              <w:autoSpaceDE w:val="0"/>
              <w:autoSpaceDN w:val="0"/>
              <w:adjustRightInd w:val="0"/>
              <w:spacing w:after="160" w:line="259" w:lineRule="auto"/>
              <w:contextualSpacing/>
              <w:rPr>
                <w:rFonts w:eastAsia="Calibri"/>
                <w:color w:val="000000"/>
              </w:rPr>
            </w:pPr>
            <w:r>
              <w:rPr>
                <w:rFonts w:eastAsia="Calibri"/>
                <w:color w:val="000000"/>
              </w:rPr>
              <w:t xml:space="preserve">User creates summary document in accordance with standard adopted in </w:t>
            </w:r>
            <w:r w:rsidR="001A3503">
              <w:rPr>
                <w:rFonts w:eastAsia="Calibri"/>
                <w:color w:val="000000"/>
              </w:rPr>
              <w:t>§170.205(a</w:t>
            </w:r>
            <w:proofErr w:type="gramStart"/>
            <w:r w:rsidR="001A3503">
              <w:rPr>
                <w:rFonts w:eastAsia="Calibri"/>
                <w:color w:val="000000"/>
              </w:rPr>
              <w:t>)(</w:t>
            </w:r>
            <w:proofErr w:type="gramEnd"/>
            <w:r w:rsidR="001A3503">
              <w:rPr>
                <w:rFonts w:eastAsia="Calibri"/>
                <w:color w:val="000000"/>
              </w:rPr>
              <w:t xml:space="preserve">4) and indicates that the document is restricted and subject to restrictions on re-disclosure. </w:t>
            </w:r>
            <w:r w:rsidR="001817D8">
              <w:rPr>
                <w:rFonts w:eastAsia="Calibri"/>
                <w:color w:val="000000"/>
              </w:rPr>
              <w:t xml:space="preserve"> </w:t>
            </w:r>
            <w:r w:rsidR="00E77966">
              <w:rPr>
                <w:rFonts w:eastAsia="Calibri"/>
                <w:color w:val="000000"/>
              </w:rPr>
              <w:t>Resulting document includes the following templates:</w:t>
            </w:r>
          </w:p>
          <w:p w:rsidR="00E77966" w:rsidRDefault="00E77966" w:rsidP="00E77966">
            <w:pPr>
              <w:pStyle w:val="ListParagraph"/>
              <w:numPr>
                <w:ilvl w:val="0"/>
                <w:numId w:val="30"/>
              </w:numPr>
              <w:autoSpaceDE w:val="0"/>
              <w:autoSpaceDN w:val="0"/>
              <w:adjustRightInd w:val="0"/>
              <w:spacing w:after="160" w:line="259" w:lineRule="auto"/>
              <w:rPr>
                <w:rFonts w:eastAsia="Calibri"/>
                <w:color w:val="000000"/>
              </w:rPr>
            </w:pPr>
            <w:r w:rsidRPr="00E77966">
              <w:rPr>
                <w:rFonts w:eastAsia="Calibri"/>
                <w:color w:val="000000"/>
              </w:rPr>
              <w:t>Privacy</w:t>
            </w:r>
            <w:r>
              <w:rPr>
                <w:rFonts w:eastAsia="Calibri"/>
                <w:color w:val="000000"/>
              </w:rPr>
              <w:t xml:space="preserve"> Segmented Document Template; </w:t>
            </w:r>
          </w:p>
          <w:p w:rsidR="00E77966" w:rsidRDefault="00E77966" w:rsidP="00E77966">
            <w:pPr>
              <w:pStyle w:val="ListParagraph"/>
              <w:numPr>
                <w:ilvl w:val="0"/>
                <w:numId w:val="30"/>
              </w:numPr>
              <w:autoSpaceDE w:val="0"/>
              <w:autoSpaceDN w:val="0"/>
              <w:adjustRightInd w:val="0"/>
              <w:spacing w:after="160" w:line="259" w:lineRule="auto"/>
              <w:rPr>
                <w:rFonts w:eastAsia="Calibri"/>
                <w:color w:val="000000"/>
              </w:rPr>
            </w:pPr>
            <w:r w:rsidRPr="00E77966">
              <w:rPr>
                <w:rFonts w:eastAsia="Calibri"/>
                <w:color w:val="000000"/>
              </w:rPr>
              <w:t>CDA M</w:t>
            </w:r>
            <w:r>
              <w:rPr>
                <w:rFonts w:eastAsia="Calibri"/>
                <w:color w:val="000000"/>
              </w:rPr>
              <w:t xml:space="preserve">andatory Document Provenance; </w:t>
            </w:r>
          </w:p>
          <w:p w:rsidR="00E77966" w:rsidRDefault="00E77966" w:rsidP="00E77966">
            <w:pPr>
              <w:pStyle w:val="ListParagraph"/>
              <w:numPr>
                <w:ilvl w:val="0"/>
                <w:numId w:val="30"/>
              </w:numPr>
              <w:autoSpaceDE w:val="0"/>
              <w:autoSpaceDN w:val="0"/>
              <w:adjustRightInd w:val="0"/>
              <w:spacing w:after="160" w:line="259" w:lineRule="auto"/>
              <w:rPr>
                <w:rFonts w:eastAsia="Calibri"/>
                <w:color w:val="000000"/>
              </w:rPr>
            </w:pPr>
            <w:r w:rsidRPr="00E77966">
              <w:rPr>
                <w:rFonts w:eastAsia="Calibri"/>
                <w:color w:val="000000"/>
              </w:rPr>
              <w:t xml:space="preserve">CDA Mandatory Document </w:t>
            </w:r>
            <w:r>
              <w:rPr>
                <w:rFonts w:eastAsia="Calibri"/>
                <w:color w:val="000000"/>
              </w:rPr>
              <w:t xml:space="preserve">Assigned Author Template; and </w:t>
            </w:r>
          </w:p>
          <w:p w:rsidR="00E77966" w:rsidRPr="00E77966" w:rsidRDefault="00E77966" w:rsidP="00E77966">
            <w:pPr>
              <w:pStyle w:val="ListParagraph"/>
              <w:numPr>
                <w:ilvl w:val="0"/>
                <w:numId w:val="30"/>
              </w:numPr>
              <w:autoSpaceDE w:val="0"/>
              <w:autoSpaceDN w:val="0"/>
              <w:adjustRightInd w:val="0"/>
              <w:spacing w:after="160" w:line="259" w:lineRule="auto"/>
              <w:rPr>
                <w:rFonts w:eastAsia="Calibri"/>
                <w:color w:val="000000"/>
              </w:rPr>
            </w:pPr>
            <w:r w:rsidRPr="00E77966">
              <w:rPr>
                <w:rFonts w:eastAsia="Calibri"/>
                <w:color w:val="000000"/>
              </w:rPr>
              <w:t>If a document contains information protected by specific privacy policies, CDA Privacy Markings Section</w:t>
            </w:r>
            <w:r>
              <w:rPr>
                <w:rFonts w:eastAsia="Calibri"/>
                <w:color w:val="000000"/>
              </w:rPr>
              <w:t>.</w:t>
            </w:r>
          </w:p>
          <w:p w:rsidR="001A3503" w:rsidRDefault="001A3503" w:rsidP="00904976">
            <w:pPr>
              <w:autoSpaceDE w:val="0"/>
              <w:autoSpaceDN w:val="0"/>
              <w:adjustRightInd w:val="0"/>
              <w:spacing w:after="160" w:line="259" w:lineRule="auto"/>
              <w:contextualSpacing/>
              <w:rPr>
                <w:rFonts w:eastAsia="Calibri"/>
                <w:color w:val="000000"/>
              </w:rPr>
            </w:pPr>
            <w:r>
              <w:rPr>
                <w:rFonts w:eastAsia="Calibri"/>
                <w:color w:val="000000"/>
              </w:rPr>
              <w:t>Summary document must include:</w:t>
            </w:r>
          </w:p>
          <w:p w:rsidR="001A3503" w:rsidRDefault="0005256B" w:rsidP="001A3503">
            <w:pPr>
              <w:pStyle w:val="ListParagraph"/>
              <w:numPr>
                <w:ilvl w:val="0"/>
                <w:numId w:val="30"/>
              </w:numPr>
              <w:autoSpaceDE w:val="0"/>
              <w:autoSpaceDN w:val="0"/>
              <w:adjustRightInd w:val="0"/>
              <w:spacing w:after="160" w:line="259" w:lineRule="auto"/>
              <w:rPr>
                <w:rFonts w:eastAsia="Calibri"/>
                <w:color w:val="000000"/>
              </w:rPr>
            </w:pPr>
            <w:r>
              <w:rPr>
                <w:rFonts w:eastAsia="Calibri"/>
                <w:color w:val="000000"/>
              </w:rPr>
              <w:t>O</w:t>
            </w:r>
            <w:r w:rsidR="001A3503" w:rsidRPr="001A3503">
              <w:rPr>
                <w:rFonts w:eastAsia="Calibri"/>
                <w:color w:val="000000"/>
              </w:rPr>
              <w:t xml:space="preserve">riginating document individual author or organization; </w:t>
            </w:r>
          </w:p>
          <w:p w:rsidR="001A3503" w:rsidRDefault="001A3503" w:rsidP="001A3503">
            <w:pPr>
              <w:pStyle w:val="ListParagraph"/>
              <w:numPr>
                <w:ilvl w:val="0"/>
                <w:numId w:val="30"/>
              </w:numPr>
              <w:autoSpaceDE w:val="0"/>
              <w:autoSpaceDN w:val="0"/>
              <w:adjustRightInd w:val="0"/>
              <w:spacing w:after="160" w:line="259" w:lineRule="auto"/>
              <w:rPr>
                <w:rFonts w:eastAsia="Calibri"/>
                <w:color w:val="000000"/>
              </w:rPr>
            </w:pPr>
            <w:r w:rsidRPr="001A3503">
              <w:rPr>
                <w:rFonts w:eastAsia="Calibri"/>
                <w:color w:val="000000"/>
              </w:rPr>
              <w:t>Confidentiality Code constrained in accordance with the standard sp</w:t>
            </w:r>
            <w:r>
              <w:rPr>
                <w:rFonts w:eastAsia="Calibri"/>
                <w:color w:val="000000"/>
              </w:rPr>
              <w:t>ecified in §170.205(o)(1); and</w:t>
            </w:r>
          </w:p>
          <w:p w:rsidR="00904976" w:rsidRPr="001A3503" w:rsidRDefault="001A3503" w:rsidP="001A3503">
            <w:pPr>
              <w:pStyle w:val="ListParagraph"/>
              <w:numPr>
                <w:ilvl w:val="0"/>
                <w:numId w:val="30"/>
              </w:numPr>
              <w:autoSpaceDE w:val="0"/>
              <w:autoSpaceDN w:val="0"/>
              <w:adjustRightInd w:val="0"/>
              <w:spacing w:after="160" w:line="259" w:lineRule="auto"/>
              <w:rPr>
                <w:rFonts w:eastAsia="Calibri"/>
                <w:color w:val="000000"/>
              </w:rPr>
            </w:pPr>
            <w:r w:rsidRPr="001A3503">
              <w:rPr>
                <w:rFonts w:eastAsia="Calibri"/>
                <w:color w:val="000000"/>
              </w:rPr>
              <w:t>If a document contains information protected by specific privacy policies, the privacy text</w:t>
            </w:r>
            <w:r w:rsidR="0005256B">
              <w:rPr>
                <w:rFonts w:eastAsia="Calibri"/>
                <w:color w:val="000000"/>
              </w:rPr>
              <w:t>.</w:t>
            </w:r>
          </w:p>
        </w:tc>
      </w:tr>
      <w:tr w:rsidR="00E77966" w:rsidRPr="000D3886" w:rsidTr="00E77966">
        <w:trPr>
          <w:trHeight w:val="737"/>
        </w:trPr>
        <w:sdt>
          <w:sdtPr>
            <w:id w:val="-642426251"/>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E77966" w:rsidRDefault="00E77966" w:rsidP="00E77966">
                <w:pPr>
                  <w:spacing w:line="360" w:lineRule="auto"/>
                </w:pPr>
                <w:r>
                  <w:rPr>
                    <w:rFonts w:ascii="MS Gothic" w:eastAsia="MS Gothic" w:hint="eastAsia"/>
                  </w:rPr>
                  <w:t>☐</w:t>
                </w:r>
              </w:p>
            </w:tc>
          </w:sdtContent>
        </w:sdt>
        <w:tc>
          <w:tcPr>
            <w:tcW w:w="7668" w:type="dxa"/>
            <w:tcBorders>
              <w:left w:val="single" w:sz="4" w:space="0" w:color="auto"/>
            </w:tcBorders>
            <w:vAlign w:val="center"/>
          </w:tcPr>
          <w:p w:rsidR="00E77966" w:rsidRDefault="00E77966" w:rsidP="00904976">
            <w:pPr>
              <w:autoSpaceDE w:val="0"/>
              <w:autoSpaceDN w:val="0"/>
              <w:adjustRightInd w:val="0"/>
              <w:spacing w:after="160" w:line="259" w:lineRule="auto"/>
              <w:contextualSpacing/>
              <w:rPr>
                <w:rFonts w:eastAsia="Calibri"/>
                <w:color w:val="000000"/>
              </w:rPr>
            </w:pPr>
            <w:r>
              <w:rPr>
                <w:rFonts w:eastAsia="Calibri"/>
                <w:color w:val="000000"/>
              </w:rPr>
              <w:t>User provides a copy of the summary record to Proctor for validation.</w:t>
            </w:r>
          </w:p>
        </w:tc>
      </w:tr>
    </w:tbl>
    <w:p w:rsidR="00EB3F96" w:rsidRDefault="00EB3F96" w:rsidP="00EB3F96">
      <w:pPr>
        <w:spacing w:line="360" w:lineRule="auto"/>
        <w:ind w:left="360"/>
        <w:rPr>
          <w:u w:val="single"/>
        </w:rPr>
      </w:pPr>
      <w:bookmarkStart w:id="8" w:name="_Toc432066410"/>
    </w:p>
    <w:p w:rsidR="00EB3F96" w:rsidRDefault="00EB3F96" w:rsidP="00EB3F96">
      <w:pPr>
        <w:spacing w:line="360" w:lineRule="auto"/>
        <w:rPr>
          <w:color w:val="A6A6A6" w:themeColor="background1" w:themeShade="A6"/>
        </w:rPr>
      </w:pPr>
      <w:r>
        <w:rPr>
          <w:color w:val="A6A6A6" w:themeColor="background1" w:themeShade="A6"/>
        </w:rPr>
        <w:t>&lt;INSERT SCREEN SHOTS</w:t>
      </w:r>
      <w:r w:rsidRPr="003D768F">
        <w:rPr>
          <w:color w:val="A6A6A6" w:themeColor="background1" w:themeShade="A6"/>
        </w:rPr>
        <w:t>&gt;</w:t>
      </w:r>
    </w:p>
    <w:p w:rsidR="001627B5" w:rsidRDefault="001627B5" w:rsidP="00362E3C">
      <w:pPr>
        <w:pStyle w:val="Heading1"/>
        <w:rPr>
          <w:rFonts w:ascii="Times New Roman" w:hAnsi="Times New Roman" w:cs="Times New Roman"/>
          <w:bCs w:val="0"/>
          <w:kern w:val="0"/>
          <w:sz w:val="24"/>
          <w:szCs w:val="24"/>
        </w:rPr>
      </w:pPr>
    </w:p>
    <w:p w:rsidR="00EB3F96" w:rsidRDefault="00EB3F96">
      <w:pPr>
        <w:rPr>
          <w:b/>
        </w:rPr>
      </w:pPr>
      <w:r>
        <w:rPr>
          <w:bCs/>
        </w:rPr>
        <w:br w:type="page"/>
      </w:r>
    </w:p>
    <w:p w:rsidR="001627B5" w:rsidRPr="001627B5" w:rsidRDefault="001627B5" w:rsidP="00362E3C">
      <w:pPr>
        <w:pStyle w:val="Heading1"/>
        <w:rPr>
          <w:rFonts w:ascii="Times New Roman" w:hAnsi="Times New Roman" w:cs="Times New Roman"/>
          <w:bCs w:val="0"/>
          <w:kern w:val="0"/>
          <w:sz w:val="24"/>
          <w:szCs w:val="24"/>
        </w:rPr>
      </w:pPr>
      <w:r>
        <w:rPr>
          <w:rFonts w:ascii="Times New Roman" w:hAnsi="Times New Roman" w:cs="Times New Roman"/>
          <w:bCs w:val="0"/>
          <w:kern w:val="0"/>
          <w:sz w:val="24"/>
          <w:szCs w:val="24"/>
        </w:rPr>
        <w:lastRenderedPageBreak/>
        <w:t>1.2</w:t>
      </w:r>
      <w:r w:rsidRPr="001627B5">
        <w:rPr>
          <w:rFonts w:ascii="Times New Roman" w:hAnsi="Times New Roman" w:cs="Times New Roman"/>
          <w:bCs w:val="0"/>
          <w:kern w:val="0"/>
          <w:sz w:val="24"/>
          <w:szCs w:val="24"/>
        </w:rPr>
        <w:t xml:space="preserve"> </w:t>
      </w:r>
      <w:r>
        <w:rPr>
          <w:rFonts w:ascii="Times New Roman" w:hAnsi="Times New Roman" w:cs="Times New Roman"/>
          <w:bCs w:val="0"/>
          <w:kern w:val="0"/>
          <w:sz w:val="24"/>
          <w:szCs w:val="24"/>
        </w:rPr>
        <w:t>Data Segmentation for Privacy: Validation</w:t>
      </w:r>
    </w:p>
    <w:tbl>
      <w:tblPr>
        <w:tblStyle w:val="TableGrid"/>
        <w:tblW w:w="0" w:type="auto"/>
        <w:tblLook w:val="04A0" w:firstRow="1" w:lastRow="0" w:firstColumn="1" w:lastColumn="0" w:noHBand="0" w:noVBand="1"/>
      </w:tblPr>
      <w:tblGrid>
        <w:gridCol w:w="828"/>
        <w:gridCol w:w="7668"/>
      </w:tblGrid>
      <w:tr w:rsidR="001627B5" w:rsidRPr="000D3886" w:rsidTr="006E649D">
        <w:sdt>
          <w:sdtPr>
            <w:id w:val="1177538629"/>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1627B5" w:rsidRDefault="001627B5" w:rsidP="006E649D">
                <w:pPr>
                  <w:spacing w:line="360" w:lineRule="auto"/>
                </w:pPr>
                <w:r>
                  <w:rPr>
                    <w:rFonts w:ascii="MS Gothic" w:eastAsia="MS Gothic" w:hint="eastAsia"/>
                  </w:rPr>
                  <w:t>☐</w:t>
                </w:r>
              </w:p>
            </w:tc>
          </w:sdtContent>
        </w:sdt>
        <w:tc>
          <w:tcPr>
            <w:tcW w:w="7668" w:type="dxa"/>
            <w:tcBorders>
              <w:left w:val="single" w:sz="4" w:space="0" w:color="auto"/>
              <w:bottom w:val="single" w:sz="4" w:space="0" w:color="auto"/>
            </w:tcBorders>
            <w:vAlign w:val="center"/>
          </w:tcPr>
          <w:p w:rsidR="001627B5" w:rsidRPr="000D3886" w:rsidRDefault="001627B5" w:rsidP="006E649D">
            <w:pPr>
              <w:autoSpaceDE w:val="0"/>
              <w:autoSpaceDN w:val="0"/>
              <w:adjustRightInd w:val="0"/>
              <w:spacing w:after="160" w:line="259" w:lineRule="auto"/>
              <w:contextualSpacing/>
              <w:rPr>
                <w:rFonts w:eastAsia="Calibri"/>
                <w:color w:val="000000"/>
              </w:rPr>
            </w:pPr>
            <w:r>
              <w:rPr>
                <w:rFonts w:eastAsia="Calibri"/>
                <w:color w:val="000000"/>
              </w:rPr>
              <w:t xml:space="preserve">Proctor validates summary record using Edge Test Tool (ETT) </w:t>
            </w:r>
            <w:hyperlink r:id="rId10" w:anchor="/validators" w:history="1">
              <w:r>
                <w:rPr>
                  <w:rStyle w:val="Hyperlink"/>
                </w:rPr>
                <w:t>C-CDA R2.1 Validator</w:t>
              </w:r>
            </w:hyperlink>
            <w:r w:rsidR="006A6CF1">
              <w:rPr>
                <w:rFonts w:eastAsia="Calibri"/>
                <w:color w:val="000000"/>
              </w:rPr>
              <w:t xml:space="preserve"> </w:t>
            </w:r>
            <w:r w:rsidR="006A6CF1" w:rsidRPr="006A6CF1">
              <w:rPr>
                <w:rFonts w:eastAsia="Calibri"/>
                <w:color w:val="000000"/>
              </w:rPr>
              <w:t>to verify the Health IT Module passes without error in order to confirm that document is conformant</w:t>
            </w:r>
            <w:r w:rsidR="00FB7C59">
              <w:rPr>
                <w:rFonts w:eastAsia="Calibri"/>
                <w:color w:val="000000"/>
              </w:rPr>
              <w:t xml:space="preserve"> to required standard.</w:t>
            </w:r>
          </w:p>
        </w:tc>
      </w:tr>
      <w:tr w:rsidR="001627B5" w:rsidRPr="000D3886" w:rsidTr="00DE0018">
        <w:trPr>
          <w:trHeight w:val="890"/>
        </w:trPr>
        <w:tc>
          <w:tcPr>
            <w:tcW w:w="828" w:type="dxa"/>
            <w:tcBorders>
              <w:right w:val="single" w:sz="4" w:space="0" w:color="auto"/>
            </w:tcBorders>
          </w:tcPr>
          <w:p w:rsidR="001627B5" w:rsidRDefault="001627B5" w:rsidP="006E649D">
            <w:pPr>
              <w:spacing w:line="360" w:lineRule="auto"/>
            </w:pPr>
          </w:p>
          <w:p w:rsidR="00DE0018" w:rsidRDefault="00DE0018" w:rsidP="006E649D">
            <w:pPr>
              <w:spacing w:line="360" w:lineRule="auto"/>
            </w:pPr>
          </w:p>
          <w:p w:rsidR="009102FB" w:rsidRDefault="009102FB" w:rsidP="006E649D">
            <w:pPr>
              <w:spacing w:line="360" w:lineRule="auto"/>
            </w:pPr>
          </w:p>
          <w:sdt>
            <w:sdtPr>
              <w:id w:val="48734574"/>
              <w14:checkbox>
                <w14:checked w14:val="0"/>
                <w14:checkedState w14:val="2612" w14:font="Arial Unicode MS"/>
                <w14:uncheckedState w14:val="2610" w14:font="Arial Unicode MS"/>
              </w14:checkbox>
            </w:sdtPr>
            <w:sdtEndPr/>
            <w:sdtContent>
              <w:p w:rsidR="009102FB" w:rsidRDefault="009102FB" w:rsidP="009102FB">
                <w:pPr>
                  <w:spacing w:line="360" w:lineRule="auto"/>
                </w:pPr>
                <w:r>
                  <w:rPr>
                    <w:rFonts w:ascii="MS Gothic" w:eastAsia="MS Gothic" w:hAnsi="MS Gothic" w:hint="eastAsia"/>
                  </w:rPr>
                  <w:t>☐</w:t>
                </w:r>
              </w:p>
            </w:sdtContent>
          </w:sdt>
          <w:p w:rsidR="009102FB" w:rsidRDefault="009102FB" w:rsidP="006E649D">
            <w:pPr>
              <w:spacing w:line="360" w:lineRule="auto"/>
            </w:pPr>
          </w:p>
        </w:tc>
        <w:tc>
          <w:tcPr>
            <w:tcW w:w="7668" w:type="dxa"/>
            <w:tcBorders>
              <w:left w:val="single" w:sz="4" w:space="0" w:color="auto"/>
            </w:tcBorders>
            <w:vAlign w:val="center"/>
          </w:tcPr>
          <w:p w:rsidR="00EB3F96" w:rsidRDefault="00EB3F96" w:rsidP="006E649D">
            <w:pPr>
              <w:autoSpaceDE w:val="0"/>
              <w:autoSpaceDN w:val="0"/>
              <w:adjustRightInd w:val="0"/>
              <w:spacing w:after="160" w:line="259" w:lineRule="auto"/>
              <w:contextualSpacing/>
              <w:rPr>
                <w:rFonts w:eastAsia="Calibri"/>
                <w:color w:val="000000"/>
              </w:rPr>
            </w:pPr>
            <w:r>
              <w:rPr>
                <w:rFonts w:eastAsia="Calibri"/>
                <w:color w:val="000000"/>
              </w:rPr>
              <w:t>Using</w:t>
            </w:r>
            <w:r w:rsidR="001627B5" w:rsidRPr="007F46B9">
              <w:rPr>
                <w:rFonts w:eastAsia="Calibri"/>
                <w:color w:val="000000"/>
              </w:rPr>
              <w:t xml:space="preserve"> the ETT: Message Validators Message Content Report, </w:t>
            </w:r>
            <w:r>
              <w:rPr>
                <w:rFonts w:eastAsia="Calibri"/>
                <w:color w:val="000000"/>
              </w:rPr>
              <w:t xml:space="preserve">Proctor verifies: </w:t>
            </w:r>
          </w:p>
          <w:p w:rsidR="00EB3F96" w:rsidRDefault="00EB3F96" w:rsidP="00D1753D">
            <w:pPr>
              <w:pStyle w:val="ListParagraph"/>
              <w:numPr>
                <w:ilvl w:val="0"/>
                <w:numId w:val="33"/>
              </w:numPr>
              <w:autoSpaceDE w:val="0"/>
              <w:autoSpaceDN w:val="0"/>
              <w:adjustRightInd w:val="0"/>
              <w:spacing w:after="160" w:line="259" w:lineRule="auto"/>
              <w:rPr>
                <w:rFonts w:eastAsia="Calibri"/>
                <w:color w:val="000000"/>
              </w:rPr>
            </w:pPr>
            <w:r>
              <w:rPr>
                <w:rFonts w:eastAsia="Calibri"/>
                <w:color w:val="000000"/>
              </w:rPr>
              <w:t>Su</w:t>
            </w:r>
            <w:r w:rsidR="001627B5" w:rsidRPr="00EB3F96">
              <w:rPr>
                <w:rFonts w:eastAsia="Calibri"/>
                <w:color w:val="000000"/>
              </w:rPr>
              <w:t>mmary record submitted is accurate and without omission using the Health IT developer-supplied data instructions.</w:t>
            </w:r>
          </w:p>
          <w:p w:rsidR="00EB3F96" w:rsidRDefault="00EB3F96" w:rsidP="00EB3F96">
            <w:pPr>
              <w:pStyle w:val="ListParagraph"/>
              <w:numPr>
                <w:ilvl w:val="0"/>
                <w:numId w:val="33"/>
              </w:numPr>
              <w:autoSpaceDE w:val="0"/>
              <w:autoSpaceDN w:val="0"/>
              <w:adjustRightInd w:val="0"/>
              <w:spacing w:after="160" w:line="259" w:lineRule="auto"/>
              <w:rPr>
                <w:rFonts w:eastAsia="Calibri"/>
                <w:color w:val="000000"/>
              </w:rPr>
            </w:pPr>
            <w:r>
              <w:rPr>
                <w:rFonts w:eastAsia="Calibri"/>
                <w:color w:val="000000"/>
              </w:rPr>
              <w:t>A</w:t>
            </w:r>
            <w:r w:rsidRPr="00EB3F96">
              <w:rPr>
                <w:rFonts w:eastAsia="Calibri"/>
                <w:color w:val="000000"/>
              </w:rPr>
              <w:t xml:space="preserve">ssigned author information and provides data provenance in accordance with </w:t>
            </w:r>
            <w:r w:rsidRPr="001E6A0F">
              <w:rPr>
                <w:rFonts w:eastAsia="Calibri"/>
                <w:color w:val="000000"/>
              </w:rPr>
              <w:t>the standard adopted at §170.205(o</w:t>
            </w:r>
            <w:r>
              <w:rPr>
                <w:rFonts w:eastAsia="Calibri"/>
                <w:color w:val="000000"/>
              </w:rPr>
              <w:t>).</w:t>
            </w:r>
          </w:p>
          <w:p w:rsidR="00CC4F68" w:rsidRPr="00EB3F96" w:rsidRDefault="00CC4F68" w:rsidP="00EB3F96">
            <w:pPr>
              <w:pStyle w:val="ListParagraph"/>
              <w:numPr>
                <w:ilvl w:val="0"/>
                <w:numId w:val="33"/>
              </w:numPr>
              <w:autoSpaceDE w:val="0"/>
              <w:autoSpaceDN w:val="0"/>
              <w:adjustRightInd w:val="0"/>
              <w:spacing w:after="160" w:line="259" w:lineRule="auto"/>
              <w:rPr>
                <w:rFonts w:eastAsia="Calibri"/>
                <w:color w:val="000000"/>
              </w:rPr>
            </w:pPr>
            <w:r>
              <w:rPr>
                <w:rFonts w:eastAsia="Calibri"/>
                <w:color w:val="000000"/>
              </w:rPr>
              <w:t xml:space="preserve">If summary record document contains unstructured </w:t>
            </w:r>
            <w:r w:rsidRPr="001A3503">
              <w:rPr>
                <w:rFonts w:eastAsia="Calibri"/>
                <w:color w:val="000000"/>
              </w:rPr>
              <w:t xml:space="preserve">text data elements, </w:t>
            </w:r>
            <w:r>
              <w:rPr>
                <w:rFonts w:eastAsia="Calibri"/>
                <w:color w:val="000000"/>
              </w:rPr>
              <w:t>Proctor</w:t>
            </w:r>
            <w:r w:rsidRPr="001A3503">
              <w:rPr>
                <w:rFonts w:eastAsia="Calibri"/>
                <w:color w:val="000000"/>
              </w:rPr>
              <w:t xml:space="preserve"> uses the Health IT developer-supplied data instructions and</w:t>
            </w:r>
            <w:r>
              <w:rPr>
                <w:rFonts w:eastAsia="Calibri"/>
                <w:color w:val="000000"/>
              </w:rPr>
              <w:t xml:space="preserve"> the Message Content Report to visually inspect</w:t>
            </w:r>
            <w:r w:rsidRPr="001A3503">
              <w:rPr>
                <w:rFonts w:eastAsia="Calibri"/>
                <w:color w:val="000000"/>
              </w:rPr>
              <w:t xml:space="preserve"> the additional checks for equivalent text for the content of all section level narrative text.</w:t>
            </w:r>
          </w:p>
        </w:tc>
      </w:tr>
      <w:tr w:rsidR="001627B5" w:rsidRPr="000D3886" w:rsidTr="006E649D">
        <w:tc>
          <w:tcPr>
            <w:tcW w:w="828" w:type="dxa"/>
            <w:tcBorders>
              <w:bottom w:val="single" w:sz="4" w:space="0" w:color="auto"/>
              <w:right w:val="single" w:sz="4" w:space="0" w:color="auto"/>
            </w:tcBorders>
          </w:tcPr>
          <w:p w:rsidR="001627B5" w:rsidRDefault="001627B5" w:rsidP="006E649D">
            <w:pPr>
              <w:spacing w:line="360" w:lineRule="auto"/>
            </w:pPr>
          </w:p>
          <w:p w:rsidR="009102FB" w:rsidRDefault="009102FB" w:rsidP="006E649D">
            <w:pPr>
              <w:spacing w:line="360" w:lineRule="auto"/>
            </w:pPr>
          </w:p>
          <w:p w:rsidR="009102FB" w:rsidRDefault="009102FB" w:rsidP="006E649D">
            <w:pPr>
              <w:spacing w:line="360" w:lineRule="auto"/>
            </w:pPr>
          </w:p>
          <w:p w:rsidR="009102FB" w:rsidRDefault="009102FB" w:rsidP="006E649D">
            <w:pPr>
              <w:spacing w:line="360" w:lineRule="auto"/>
            </w:pPr>
          </w:p>
          <w:sdt>
            <w:sdtPr>
              <w:id w:val="1831710173"/>
              <w14:checkbox>
                <w14:checked w14:val="0"/>
                <w14:checkedState w14:val="2612" w14:font="Arial Unicode MS"/>
                <w14:uncheckedState w14:val="2610" w14:font="Arial Unicode MS"/>
              </w14:checkbox>
            </w:sdtPr>
            <w:sdtEndPr/>
            <w:sdtContent>
              <w:p w:rsidR="009102FB" w:rsidRDefault="009102FB" w:rsidP="006E649D">
                <w:pPr>
                  <w:spacing w:line="360" w:lineRule="auto"/>
                </w:pPr>
                <w:r>
                  <w:rPr>
                    <w:rFonts w:ascii="MS Gothic" w:eastAsia="MS Gothic" w:hAnsi="MS Gothic" w:hint="eastAsia"/>
                  </w:rPr>
                  <w:t>☐</w:t>
                </w:r>
              </w:p>
            </w:sdtContent>
          </w:sdt>
        </w:tc>
        <w:tc>
          <w:tcPr>
            <w:tcW w:w="7668" w:type="dxa"/>
            <w:tcBorders>
              <w:left w:val="single" w:sz="4" w:space="0" w:color="auto"/>
              <w:bottom w:val="single" w:sz="4" w:space="0" w:color="auto"/>
            </w:tcBorders>
            <w:vAlign w:val="center"/>
          </w:tcPr>
          <w:p w:rsidR="001627B5" w:rsidRPr="00F65C5E" w:rsidRDefault="00EB3F96" w:rsidP="006E649D">
            <w:pPr>
              <w:autoSpaceDE w:val="0"/>
              <w:autoSpaceDN w:val="0"/>
              <w:adjustRightInd w:val="0"/>
              <w:spacing w:after="160" w:line="259" w:lineRule="auto"/>
              <w:contextualSpacing/>
              <w:rPr>
                <w:rFonts w:eastAsia="Calibri"/>
                <w:color w:val="000000"/>
              </w:rPr>
            </w:pPr>
            <w:r>
              <w:rPr>
                <w:rFonts w:eastAsia="Calibri"/>
                <w:color w:val="000000"/>
              </w:rPr>
              <w:t>Proctor performs visual inspection</w:t>
            </w:r>
            <w:r w:rsidR="001627B5">
              <w:rPr>
                <w:rFonts w:eastAsia="Calibri"/>
                <w:color w:val="000000"/>
              </w:rPr>
              <w:t xml:space="preserve"> of the following </w:t>
            </w:r>
            <w:r w:rsidR="001627B5" w:rsidRPr="00F65C5E">
              <w:rPr>
                <w:rFonts w:eastAsia="Calibri"/>
                <w:color w:val="000000"/>
              </w:rPr>
              <w:t xml:space="preserve">§170.205(o) </w:t>
            </w:r>
            <w:r w:rsidR="001627B5">
              <w:rPr>
                <w:rFonts w:eastAsia="Calibri"/>
                <w:color w:val="000000"/>
              </w:rPr>
              <w:t xml:space="preserve">tags in the Summary Record: </w:t>
            </w:r>
            <w:r w:rsidR="001627B5" w:rsidRPr="00F65C5E">
              <w:rPr>
                <w:rFonts w:eastAsia="Calibri"/>
                <w:color w:val="000000"/>
              </w:rPr>
              <w:t xml:space="preserve"> </w:t>
            </w:r>
          </w:p>
          <w:p w:rsidR="001627B5" w:rsidRDefault="001627B5" w:rsidP="006E649D">
            <w:pPr>
              <w:pStyle w:val="ListParagraph"/>
              <w:numPr>
                <w:ilvl w:val="0"/>
                <w:numId w:val="30"/>
              </w:numPr>
              <w:autoSpaceDE w:val="0"/>
              <w:autoSpaceDN w:val="0"/>
              <w:adjustRightInd w:val="0"/>
              <w:spacing w:after="160" w:line="259" w:lineRule="auto"/>
              <w:rPr>
                <w:rFonts w:eastAsia="Calibri"/>
                <w:color w:val="000000"/>
              </w:rPr>
            </w:pPr>
            <w:r w:rsidRPr="00F65C5E">
              <w:rPr>
                <w:rFonts w:eastAsia="Calibri"/>
                <w:color w:val="000000"/>
              </w:rPr>
              <w:t>Privacy Segmented Document Template;</w:t>
            </w:r>
          </w:p>
          <w:p w:rsidR="001627B5" w:rsidRDefault="001627B5" w:rsidP="006E649D">
            <w:pPr>
              <w:pStyle w:val="ListParagraph"/>
              <w:numPr>
                <w:ilvl w:val="0"/>
                <w:numId w:val="30"/>
              </w:numPr>
              <w:autoSpaceDE w:val="0"/>
              <w:autoSpaceDN w:val="0"/>
              <w:adjustRightInd w:val="0"/>
              <w:spacing w:after="160" w:line="259" w:lineRule="auto"/>
              <w:rPr>
                <w:rFonts w:eastAsia="Calibri"/>
                <w:color w:val="000000"/>
              </w:rPr>
            </w:pPr>
            <w:r w:rsidRPr="00F65C5E">
              <w:rPr>
                <w:rFonts w:eastAsia="Calibri"/>
                <w:color w:val="000000"/>
              </w:rPr>
              <w:t>CDA Mandatory Document Provenance;</w:t>
            </w:r>
          </w:p>
          <w:p w:rsidR="001627B5" w:rsidRDefault="001627B5" w:rsidP="006E649D">
            <w:pPr>
              <w:pStyle w:val="ListParagraph"/>
              <w:numPr>
                <w:ilvl w:val="0"/>
                <w:numId w:val="30"/>
              </w:numPr>
              <w:autoSpaceDE w:val="0"/>
              <w:autoSpaceDN w:val="0"/>
              <w:adjustRightInd w:val="0"/>
              <w:spacing w:after="160" w:line="259" w:lineRule="auto"/>
              <w:rPr>
                <w:rFonts w:eastAsia="Calibri"/>
                <w:color w:val="000000"/>
              </w:rPr>
            </w:pPr>
            <w:r w:rsidRPr="00F65C5E">
              <w:rPr>
                <w:rFonts w:eastAsia="Calibri"/>
                <w:color w:val="000000"/>
              </w:rPr>
              <w:t>CDA Mandatory Document Assigned Author Template;</w:t>
            </w:r>
          </w:p>
          <w:p w:rsidR="001627B5" w:rsidRDefault="001627B5" w:rsidP="006E649D">
            <w:pPr>
              <w:pStyle w:val="ListParagraph"/>
              <w:numPr>
                <w:ilvl w:val="0"/>
                <w:numId w:val="30"/>
              </w:numPr>
              <w:autoSpaceDE w:val="0"/>
              <w:autoSpaceDN w:val="0"/>
              <w:adjustRightInd w:val="0"/>
              <w:spacing w:after="160" w:line="259" w:lineRule="auto"/>
              <w:rPr>
                <w:rFonts w:eastAsia="Calibri"/>
                <w:color w:val="000000"/>
              </w:rPr>
            </w:pPr>
            <w:r w:rsidRPr="00F65C5E">
              <w:rPr>
                <w:rFonts w:eastAsia="Calibri"/>
                <w:color w:val="000000"/>
              </w:rPr>
              <w:t>The General Header constraint includes the Author;</w:t>
            </w:r>
          </w:p>
          <w:p w:rsidR="001627B5" w:rsidRDefault="001627B5" w:rsidP="006E649D">
            <w:pPr>
              <w:pStyle w:val="ListParagraph"/>
              <w:numPr>
                <w:ilvl w:val="0"/>
                <w:numId w:val="30"/>
              </w:numPr>
              <w:autoSpaceDE w:val="0"/>
              <w:autoSpaceDN w:val="0"/>
              <w:adjustRightInd w:val="0"/>
              <w:spacing w:after="160" w:line="259" w:lineRule="auto"/>
              <w:rPr>
                <w:rFonts w:eastAsia="Calibri"/>
                <w:color w:val="000000"/>
              </w:rPr>
            </w:pPr>
            <w:r w:rsidRPr="00F65C5E">
              <w:rPr>
                <w:rFonts w:eastAsia="Calibri"/>
                <w:color w:val="000000"/>
              </w:rPr>
              <w:t>If a document contains information protected by specific privacy policies, CDA</w:t>
            </w:r>
            <w:r>
              <w:rPr>
                <w:rFonts w:eastAsia="Calibri"/>
                <w:color w:val="000000"/>
              </w:rPr>
              <w:t xml:space="preserve"> </w:t>
            </w:r>
            <w:r w:rsidRPr="00F65C5E">
              <w:rPr>
                <w:rFonts w:eastAsia="Calibri"/>
                <w:color w:val="000000"/>
              </w:rPr>
              <w:t>Privacy Markings Section with text indicating the nature of the explicit notice the provider receiving the disclosed information; and</w:t>
            </w:r>
          </w:p>
          <w:p w:rsidR="001627B5" w:rsidRPr="000D3886" w:rsidRDefault="001627B5" w:rsidP="006E649D">
            <w:pPr>
              <w:pStyle w:val="ListParagraph"/>
              <w:numPr>
                <w:ilvl w:val="0"/>
                <w:numId w:val="30"/>
              </w:numPr>
              <w:autoSpaceDE w:val="0"/>
              <w:autoSpaceDN w:val="0"/>
              <w:adjustRightInd w:val="0"/>
              <w:spacing w:after="160" w:line="259" w:lineRule="auto"/>
              <w:rPr>
                <w:rFonts w:eastAsia="Calibri"/>
                <w:color w:val="000000"/>
              </w:rPr>
            </w:pPr>
            <w:r w:rsidRPr="00F65C5E">
              <w:rPr>
                <w:rFonts w:eastAsia="Calibri"/>
                <w:color w:val="000000"/>
              </w:rPr>
              <w:t>A Confidentiality Code with the value “R.”</w:t>
            </w:r>
          </w:p>
        </w:tc>
      </w:tr>
    </w:tbl>
    <w:p w:rsidR="00A440DA" w:rsidRDefault="00A440DA" w:rsidP="00A440DA">
      <w:pPr>
        <w:spacing w:line="360" w:lineRule="auto"/>
        <w:rPr>
          <w:u w:val="single"/>
        </w:rPr>
      </w:pPr>
    </w:p>
    <w:p w:rsidR="00A440DA" w:rsidRDefault="00A440DA" w:rsidP="00A440DA">
      <w:pPr>
        <w:spacing w:line="360" w:lineRule="auto"/>
        <w:rPr>
          <w:u w:val="single"/>
        </w:rPr>
      </w:pPr>
      <w:r>
        <w:rPr>
          <w:color w:val="A6A6A6" w:themeColor="background1" w:themeShade="A6"/>
        </w:rPr>
        <w:t>&lt;INSERT LINK TO FILE – Validation Report&gt;</w:t>
      </w:r>
    </w:p>
    <w:p w:rsidR="001627B5" w:rsidRDefault="001627B5" w:rsidP="001627B5">
      <w:pPr>
        <w:spacing w:line="360" w:lineRule="auto"/>
        <w:rPr>
          <w:color w:val="A6A6A6" w:themeColor="background1" w:themeShade="A6"/>
        </w:rPr>
      </w:pPr>
      <w:r>
        <w:rPr>
          <w:color w:val="A6A6A6" w:themeColor="background1" w:themeShade="A6"/>
        </w:rPr>
        <w:t>&lt;INSERT SCREEN SHOTS</w:t>
      </w:r>
      <w:r w:rsidRPr="003D768F">
        <w:rPr>
          <w:color w:val="A6A6A6" w:themeColor="background1" w:themeShade="A6"/>
        </w:rPr>
        <w:t>&gt;</w:t>
      </w:r>
    </w:p>
    <w:p w:rsidR="001627B5" w:rsidRDefault="001627B5" w:rsidP="001627B5">
      <w:pPr>
        <w:rPr>
          <w:rFonts w:ascii="Arial" w:hAnsi="Arial" w:cs="Arial"/>
          <w:kern w:val="32"/>
          <w:sz w:val="32"/>
          <w:szCs w:val="32"/>
        </w:rPr>
      </w:pPr>
    </w:p>
    <w:p w:rsidR="00EB3F96" w:rsidRDefault="00EB3F96">
      <w:pPr>
        <w:rPr>
          <w:rFonts w:ascii="Arial" w:hAnsi="Arial" w:cs="Arial"/>
          <w:b/>
          <w:bCs/>
          <w:kern w:val="32"/>
          <w:sz w:val="32"/>
          <w:szCs w:val="32"/>
        </w:rPr>
      </w:pPr>
      <w:r>
        <w:br w:type="page"/>
      </w:r>
    </w:p>
    <w:p w:rsidR="00362E3C" w:rsidRDefault="00362E3C" w:rsidP="00362E3C">
      <w:pPr>
        <w:pStyle w:val="Heading1"/>
      </w:pPr>
      <w:bookmarkStart w:id="9" w:name="_Appendix_A:_Testing"/>
      <w:bookmarkEnd w:id="9"/>
      <w:r>
        <w:lastRenderedPageBreak/>
        <w:t>Appendix A: Testing Guide</w:t>
      </w:r>
      <w:bookmarkEnd w:id="8"/>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41704D" w:rsidRDefault="0041704D" w:rsidP="0041704D">
      <w:r w:rsidRPr="00230C89">
        <w:t>Rev 01</w:t>
      </w:r>
      <w:r>
        <w:t>-</w:t>
      </w:r>
      <w:r w:rsidR="00EA604C">
        <w:t>Mar</w:t>
      </w:r>
      <w:r>
        <w:t>-</w:t>
      </w:r>
      <w:r w:rsidRPr="00230C89">
        <w:t>2016</w:t>
      </w:r>
      <w:r>
        <w:t xml:space="preserve"> Additions</w:t>
      </w:r>
    </w:p>
    <w:p w:rsidR="00362E3C" w:rsidRDefault="003B7EDE" w:rsidP="003B7EDE">
      <w:pPr>
        <w:pStyle w:val="ListParagraph"/>
        <w:numPr>
          <w:ilvl w:val="0"/>
          <w:numId w:val="34"/>
        </w:numPr>
        <w:ind w:left="720"/>
      </w:pPr>
      <w:r w:rsidRPr="003B7EDE">
        <w:t>This certification criterion at § 170.315(b)(7) focuses on a Health IT Module’s ability to tag a C-CDA document as restricted and subject to re-disclosure restrictions using the HL7 DS4P standard, not on the content of the C-CDA document. As such, this certification criterion is not subject to the Consolidated CDA creation performance certification criterion (§ 170.315(g</w:t>
      </w:r>
      <w:proofErr w:type="gramStart"/>
      <w:r w:rsidRPr="003B7EDE">
        <w:t>)(</w:t>
      </w:r>
      <w:proofErr w:type="gramEnd"/>
      <w:r w:rsidRPr="003B7EDE">
        <w:t>6)) because testing for § 170.315(g)(6) focuses on the content of the C-CDA document. We established a certification criterion for Consolidated CDA creation performance to promote the interoperability of C-CDA documents during exchange by testing conformance of the C-CDA’s content to the variation permitted by the HL7 standard.</w:t>
      </w: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362E3C" w:rsidRDefault="00362E3C" w:rsidP="00362E3C">
      <w:pPr>
        <w:pStyle w:val="Heading1"/>
      </w:pPr>
      <w:bookmarkStart w:id="10" w:name="_Appendix_B:_ONC"/>
      <w:bookmarkStart w:id="11" w:name="_Toc432066411"/>
      <w:bookmarkEnd w:id="10"/>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3838CB" w:rsidRDefault="00B5776F" w:rsidP="003838CB">
      <w:r>
        <w:rPr>
          <w:b/>
        </w:rPr>
        <w:t>§170.315</w:t>
      </w:r>
      <w:r w:rsidR="003838CB" w:rsidRPr="00852A1C">
        <w:rPr>
          <w:b/>
        </w:rPr>
        <w:t>(b</w:t>
      </w:r>
      <w:proofErr w:type="gramStart"/>
      <w:r w:rsidR="003838CB" w:rsidRPr="00852A1C">
        <w:rPr>
          <w:b/>
        </w:rPr>
        <w:t>)(</w:t>
      </w:r>
      <w:proofErr w:type="gramEnd"/>
      <w:r w:rsidR="003838CB" w:rsidRPr="00852A1C">
        <w:rPr>
          <w:b/>
        </w:rPr>
        <w:t xml:space="preserve">7) </w:t>
      </w:r>
      <w:r w:rsidR="003838CB" w:rsidRPr="00852A1C">
        <w:rPr>
          <w:b/>
          <w:i/>
          <w:iCs/>
        </w:rPr>
        <w:t>Data segmentation for privacy—send.</w:t>
      </w:r>
      <w:r w:rsidR="003838CB">
        <w:t xml:space="preserve"> Enable a user to create a summary record formatted in accordance with the standard adopted in § 170.205(a)(4) that is document-level tagged as restricted and subject to restrictions on re-disclosure according to the standard adopted in § 170.205(o)(1).</w:t>
      </w:r>
    </w:p>
    <w:p w:rsidR="003838CB" w:rsidRDefault="003838CB" w:rsidP="003838CB"/>
    <w:p w:rsidR="003838CB" w:rsidRPr="00C46A7D" w:rsidRDefault="003838CB" w:rsidP="003838CB">
      <w:pPr>
        <w:rPr>
          <w:rFonts w:ascii="TimesNewRoman,Bold" w:hAnsi="TimesNewRoman,Bold" w:cs="TimesNewRoman,Bold"/>
          <w:b/>
          <w:bCs/>
          <w:color w:val="000000" w:themeColor="text1"/>
        </w:rPr>
      </w:pPr>
      <w:r w:rsidRPr="00C46A7D">
        <w:rPr>
          <w:b/>
          <w:color w:val="000000" w:themeColor="text1"/>
        </w:rPr>
        <w:t>§170.205</w:t>
      </w:r>
      <w:r w:rsidRPr="00C46A7D">
        <w:rPr>
          <w:rFonts w:ascii="TimesNewRoman,Bold" w:hAnsi="TimesNewRoman,Bold" w:cs="TimesNewRoman,Bold"/>
          <w:b/>
          <w:bCs/>
          <w:color w:val="000000" w:themeColor="text1"/>
        </w:rPr>
        <w:t xml:space="preserve"> Content Exchange Standards – Patient Summary Record.</w:t>
      </w:r>
    </w:p>
    <w:p w:rsidR="003838CB" w:rsidRDefault="003838CB" w:rsidP="003838CB">
      <w:r w:rsidRPr="003573F1">
        <w:rPr>
          <w:b/>
        </w:rPr>
        <w:t xml:space="preserve">(a)(4) </w:t>
      </w:r>
      <w:r w:rsidRPr="003573F1">
        <w:rPr>
          <w:b/>
          <w:i/>
          <w:iCs/>
        </w:rPr>
        <w:t>Standard.</w:t>
      </w:r>
      <w: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3838CB" w:rsidRPr="00864543" w:rsidRDefault="003838CB" w:rsidP="003838CB">
      <w:pPr>
        <w:rPr>
          <w:color w:val="000000" w:themeColor="text1"/>
        </w:rPr>
      </w:pPr>
      <w:r w:rsidRPr="00864543">
        <w:rPr>
          <w:b/>
          <w:color w:val="000000" w:themeColor="text1"/>
        </w:rPr>
        <w:t>(o)(1) Standard.</w:t>
      </w:r>
      <w:r w:rsidRPr="00864543">
        <w:rPr>
          <w:color w:val="000000" w:themeColor="text1"/>
        </w:rPr>
        <w:t xml:space="preserve"> HL7 Implementation Guide: Data Segmentation for Privacy (DS4P), Release 1.</w:t>
      </w:r>
    </w:p>
    <w:p w:rsidR="00362E3C" w:rsidRDefault="00362E3C" w:rsidP="003838CB">
      <w:pPr>
        <w:pStyle w:val="NormalWeb"/>
      </w:pPr>
    </w:p>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2" w:name="_Toc432066412"/>
      <w:bookmarkEnd w:id="3"/>
      <w:r>
        <w:lastRenderedPageBreak/>
        <w:t>Change Log</w:t>
      </w:r>
      <w:bookmarkEnd w:id="12"/>
    </w:p>
    <w:tbl>
      <w:tblPr>
        <w:tblStyle w:val="TableGrid"/>
        <w:tblW w:w="0" w:type="auto"/>
        <w:tblLook w:val="04A0" w:firstRow="1" w:lastRow="0" w:firstColumn="1" w:lastColumn="0" w:noHBand="0" w:noVBand="1"/>
      </w:tblPr>
      <w:tblGrid>
        <w:gridCol w:w="2052"/>
        <w:gridCol w:w="6578"/>
      </w:tblGrid>
      <w:tr w:rsidR="00362E3C" w:rsidTr="00FE7067">
        <w:tc>
          <w:tcPr>
            <w:tcW w:w="2052" w:type="dxa"/>
          </w:tcPr>
          <w:p w:rsidR="00362E3C" w:rsidRDefault="00362E3C" w:rsidP="004A3AA7">
            <w:r>
              <w:t>Revision</w:t>
            </w:r>
          </w:p>
        </w:tc>
        <w:tc>
          <w:tcPr>
            <w:tcW w:w="6578" w:type="dxa"/>
          </w:tcPr>
          <w:p w:rsidR="00362E3C" w:rsidRDefault="00362E3C" w:rsidP="004A3AA7">
            <w:r>
              <w:t>Change Description</w:t>
            </w:r>
          </w:p>
        </w:tc>
      </w:tr>
      <w:tr w:rsidR="00362E3C" w:rsidTr="00FE7067">
        <w:tc>
          <w:tcPr>
            <w:tcW w:w="2052" w:type="dxa"/>
          </w:tcPr>
          <w:p w:rsidR="00362E3C" w:rsidRDefault="00FE7067" w:rsidP="00EA604C">
            <w:r>
              <w:t>03-Jan-2017</w:t>
            </w:r>
          </w:p>
        </w:tc>
        <w:tc>
          <w:tcPr>
            <w:tcW w:w="6578" w:type="dxa"/>
          </w:tcPr>
          <w:p w:rsidR="00362E3C" w:rsidRDefault="00FE7067" w:rsidP="00FE7067">
            <w:r>
              <w:t>Removed reference to developer-supplied test data and added ONC-supplied test data under “Test Data and Tools”.</w:t>
            </w:r>
          </w:p>
        </w:tc>
      </w:tr>
      <w:tr w:rsidR="00FE7067" w:rsidTr="00FE7067">
        <w:tc>
          <w:tcPr>
            <w:tcW w:w="2052" w:type="dxa"/>
          </w:tcPr>
          <w:p w:rsidR="00FE7067" w:rsidRDefault="00FE7067" w:rsidP="00FE7067">
            <w:r>
              <w:t>01-Mar-2016</w:t>
            </w:r>
          </w:p>
        </w:tc>
        <w:tc>
          <w:tcPr>
            <w:tcW w:w="6578" w:type="dxa"/>
          </w:tcPr>
          <w:p w:rsidR="00FE7067" w:rsidRDefault="00FE7067" w:rsidP="00FE7067">
            <w:r>
              <w:t>Initial Release.</w:t>
            </w:r>
          </w:p>
        </w:tc>
      </w:tr>
      <w:tr w:rsidR="00FE7067" w:rsidTr="00FE7067">
        <w:tc>
          <w:tcPr>
            <w:tcW w:w="2052" w:type="dxa"/>
          </w:tcPr>
          <w:p w:rsidR="00FE7067" w:rsidRDefault="00FE7067" w:rsidP="00FE7067"/>
        </w:tc>
        <w:tc>
          <w:tcPr>
            <w:tcW w:w="6578" w:type="dxa"/>
          </w:tcPr>
          <w:p w:rsidR="00FE7067" w:rsidRDefault="00FE7067" w:rsidP="00FE7067"/>
        </w:tc>
      </w:tr>
      <w:tr w:rsidR="00FE7067" w:rsidTr="00FE7067">
        <w:tc>
          <w:tcPr>
            <w:tcW w:w="2052" w:type="dxa"/>
          </w:tcPr>
          <w:p w:rsidR="00FE7067" w:rsidRDefault="00FE7067" w:rsidP="00FE7067"/>
        </w:tc>
        <w:tc>
          <w:tcPr>
            <w:tcW w:w="6578" w:type="dxa"/>
          </w:tcPr>
          <w:p w:rsidR="00FE7067" w:rsidRDefault="00FE7067" w:rsidP="00FE7067"/>
        </w:tc>
      </w:tr>
      <w:tr w:rsidR="00FE7067" w:rsidTr="00FE7067">
        <w:tc>
          <w:tcPr>
            <w:tcW w:w="2052" w:type="dxa"/>
          </w:tcPr>
          <w:p w:rsidR="00FE7067" w:rsidRDefault="00FE7067" w:rsidP="00FE7067"/>
        </w:tc>
        <w:tc>
          <w:tcPr>
            <w:tcW w:w="6578" w:type="dxa"/>
          </w:tcPr>
          <w:p w:rsidR="00FE7067" w:rsidRDefault="00FE7067" w:rsidP="00FE7067"/>
        </w:tc>
      </w:tr>
      <w:tr w:rsidR="00FE7067" w:rsidTr="00FE7067">
        <w:tc>
          <w:tcPr>
            <w:tcW w:w="2052" w:type="dxa"/>
          </w:tcPr>
          <w:p w:rsidR="00FE7067" w:rsidRDefault="00FE7067" w:rsidP="00FE7067"/>
        </w:tc>
        <w:tc>
          <w:tcPr>
            <w:tcW w:w="6578" w:type="dxa"/>
          </w:tcPr>
          <w:p w:rsidR="00FE7067" w:rsidRDefault="00FE7067" w:rsidP="00FE7067"/>
        </w:tc>
      </w:tr>
      <w:tr w:rsidR="00FE7067" w:rsidTr="00FE7067">
        <w:tc>
          <w:tcPr>
            <w:tcW w:w="2052" w:type="dxa"/>
          </w:tcPr>
          <w:p w:rsidR="00FE7067" w:rsidRDefault="00FE7067" w:rsidP="00FE7067"/>
        </w:tc>
        <w:tc>
          <w:tcPr>
            <w:tcW w:w="6578" w:type="dxa"/>
          </w:tcPr>
          <w:p w:rsidR="00FE7067" w:rsidRDefault="00FE7067" w:rsidP="00FE7067"/>
        </w:tc>
      </w:tr>
      <w:tr w:rsidR="00FE7067" w:rsidTr="00FE7067">
        <w:tc>
          <w:tcPr>
            <w:tcW w:w="2052" w:type="dxa"/>
          </w:tcPr>
          <w:p w:rsidR="00FE7067" w:rsidRDefault="00FE7067" w:rsidP="00FE7067"/>
        </w:tc>
        <w:tc>
          <w:tcPr>
            <w:tcW w:w="6578" w:type="dxa"/>
          </w:tcPr>
          <w:p w:rsidR="00FE7067" w:rsidRDefault="00FE7067" w:rsidP="00FE7067"/>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AB4FE4">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1"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2"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3"/>
      <w:headerReference w:type="default" r:id="rId14"/>
      <w:footerReference w:type="default" r:id="rId15"/>
      <w:head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8AD" w:rsidRDefault="004658AD">
      <w:r>
        <w:separator/>
      </w:r>
    </w:p>
  </w:endnote>
  <w:endnote w:type="continuationSeparator" w:id="0">
    <w:p w:rsidR="004658AD" w:rsidRDefault="0046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F74" w:rsidRDefault="000C6F74" w:rsidP="0041704D">
    <w:pPr>
      <w:pStyle w:val="Footer"/>
      <w:jc w:val="right"/>
      <w:rPr>
        <w:b/>
        <w:color w:val="000000"/>
        <w:sz w:val="16"/>
        <w:szCs w:val="16"/>
      </w:rPr>
    </w:pPr>
    <w:r>
      <w:rPr>
        <w:b/>
        <w:color w:val="000000"/>
        <w:sz w:val="16"/>
        <w:szCs w:val="16"/>
      </w:rPr>
      <w:t xml:space="preserve">Rev.: </w:t>
    </w:r>
    <w:r w:rsidR="000819A1">
      <w:rPr>
        <w:b/>
        <w:color w:val="000000"/>
        <w:sz w:val="16"/>
        <w:szCs w:val="16"/>
      </w:rPr>
      <w:t>03Jan2017</w:t>
    </w:r>
  </w:p>
  <w:p w:rsidR="000C6F74" w:rsidRDefault="000459C8" w:rsidP="0041704D">
    <w:pPr>
      <w:pStyle w:val="Footer"/>
      <w:jc w:val="right"/>
      <w:rPr>
        <w:b/>
        <w:color w:val="000000"/>
        <w:sz w:val="16"/>
        <w:szCs w:val="16"/>
      </w:rPr>
    </w:pPr>
    <w:r>
      <w:rPr>
        <w:b/>
        <w:color w:val="000000"/>
        <w:sz w:val="16"/>
        <w:szCs w:val="16"/>
      </w:rPr>
      <w:t>EHR Test</w:t>
    </w:r>
    <w:r w:rsidR="000C6F74">
      <w:rPr>
        <w:b/>
        <w:color w:val="000000"/>
        <w:sz w:val="16"/>
        <w:szCs w:val="16"/>
      </w:rPr>
      <w:t>-155</w:t>
    </w:r>
  </w:p>
  <w:p w:rsidR="000C6F74" w:rsidRDefault="000C6F74"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9B1B89">
      <w:rPr>
        <w:b/>
        <w:noProof/>
        <w:sz w:val="16"/>
        <w:szCs w:val="16"/>
      </w:rPr>
      <w:t>2</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9B1B89">
      <w:rPr>
        <w:b/>
        <w:noProof/>
        <w:sz w:val="16"/>
        <w:szCs w:val="16"/>
      </w:rPr>
      <w:t>11</w:t>
    </w:r>
    <w:r>
      <w:rPr>
        <w:b/>
        <w:sz w:val="16"/>
        <w:szCs w:val="16"/>
      </w:rPr>
      <w:fldChar w:fldCharType="end"/>
    </w:r>
  </w:p>
  <w:p w:rsidR="000C6F74" w:rsidRPr="006A0231" w:rsidRDefault="000C6F74" w:rsidP="00D63A5B">
    <w:pPr>
      <w:jc w:val="center"/>
      <w:rPr>
        <w:sz w:val="20"/>
        <w:szCs w:val="20"/>
      </w:rPr>
    </w:pPr>
    <w:r w:rsidRPr="006A0231">
      <w:rPr>
        <w:sz w:val="20"/>
        <w:szCs w:val="20"/>
      </w:rPr>
      <w:t>Copyright © 201</w:t>
    </w:r>
    <w:r w:rsidR="00AB4FE4">
      <w:rPr>
        <w:sz w:val="20"/>
        <w:szCs w:val="20"/>
      </w:rPr>
      <w:t>6</w:t>
    </w:r>
    <w:r w:rsidRPr="006A0231">
      <w:rPr>
        <w:sz w:val="20"/>
        <w:szCs w:val="20"/>
      </w:rPr>
      <w:t xml:space="preserve"> Drummond Group LLC</w:t>
    </w:r>
  </w:p>
  <w:p w:rsidR="000C6F74" w:rsidRPr="006A0231" w:rsidRDefault="000C6F74"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8AD" w:rsidRDefault="004658AD">
      <w:r>
        <w:separator/>
      </w:r>
    </w:p>
  </w:footnote>
  <w:footnote w:type="continuationSeparator" w:id="0">
    <w:p w:rsidR="004658AD" w:rsidRDefault="00465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F74" w:rsidRDefault="004658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F74" w:rsidRDefault="004658AD"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0C6F74">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0C6F74" w:rsidRPr="00A9582F">
      <w:rPr>
        <w:b/>
        <w:color w:val="000000"/>
        <w:sz w:val="32"/>
        <w:szCs w:val="32"/>
      </w:rPr>
      <w:t xml:space="preserve"> </w:t>
    </w:r>
    <w:r w:rsidR="00B65872">
      <w:rPr>
        <w:b/>
        <w:color w:val="000000"/>
        <w:sz w:val="32"/>
        <w:szCs w:val="32"/>
      </w:rPr>
      <w:t xml:space="preserve">         </w:t>
    </w:r>
    <w:r w:rsidR="000C6F74">
      <w:rPr>
        <w:b/>
        <w:color w:val="000000"/>
      </w:rPr>
      <w:t>170.315</w:t>
    </w:r>
    <w:proofErr w:type="gramStart"/>
    <w:r w:rsidR="000C6F74">
      <w:rPr>
        <w:b/>
        <w:color w:val="000000"/>
      </w:rPr>
      <w:t>.</w:t>
    </w:r>
    <w:r w:rsidR="00F70390">
      <w:rPr>
        <w:b/>
        <w:color w:val="000000"/>
      </w:rPr>
      <w:t>b.7</w:t>
    </w:r>
    <w:proofErr w:type="gramEnd"/>
    <w:r w:rsidR="00B65872" w:rsidRPr="00B65872">
      <w:t xml:space="preserve"> </w:t>
    </w:r>
    <w:r w:rsidR="00F70390">
      <w:rPr>
        <w:b/>
        <w:color w:val="000000"/>
      </w:rPr>
      <w:t xml:space="preserve">Data Segmentation for Privacy – </w:t>
    </w:r>
    <w:r w:rsidR="00F70390" w:rsidRPr="00F70390">
      <w:rPr>
        <w:b/>
        <w:color w:val="000000"/>
      </w:rPr>
      <w:t>Send</w:t>
    </w:r>
    <w:r w:rsidR="00F70390">
      <w:rPr>
        <w:b/>
        <w:color w:val="000000"/>
      </w:rPr>
      <w:t xml:space="preserve"> </w:t>
    </w:r>
    <w:r w:rsidR="000C6F74">
      <w:rPr>
        <w:b/>
        <w:color w:val="000000"/>
      </w:rPr>
      <w:t>PS</w:t>
    </w:r>
  </w:p>
  <w:p w:rsidR="000C6F74" w:rsidRPr="00450818" w:rsidRDefault="000C6F74"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6F74" w:rsidRDefault="004658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5206CC6"/>
    <w:multiLevelType w:val="hybridMultilevel"/>
    <w:tmpl w:val="BECA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AC0DDF"/>
    <w:multiLevelType w:val="hybridMultilevel"/>
    <w:tmpl w:val="FCFE6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A81020"/>
    <w:multiLevelType w:val="hybridMultilevel"/>
    <w:tmpl w:val="90DCEC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C5566"/>
    <w:multiLevelType w:val="hybridMultilevel"/>
    <w:tmpl w:val="DB04A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066105"/>
    <w:multiLevelType w:val="hybridMultilevel"/>
    <w:tmpl w:val="92287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4"/>
  </w:num>
  <w:num w:numId="2">
    <w:abstractNumId w:val="3"/>
  </w:num>
  <w:num w:numId="3">
    <w:abstractNumId w:val="12"/>
  </w:num>
  <w:num w:numId="4">
    <w:abstractNumId w:val="11"/>
  </w:num>
  <w:num w:numId="5">
    <w:abstractNumId w:val="18"/>
  </w:num>
  <w:num w:numId="6">
    <w:abstractNumId w:val="4"/>
  </w:num>
  <w:num w:numId="7">
    <w:abstractNumId w:val="5"/>
  </w:num>
  <w:num w:numId="8">
    <w:abstractNumId w:val="26"/>
  </w:num>
  <w:num w:numId="9">
    <w:abstractNumId w:val="6"/>
  </w:num>
  <w:num w:numId="10">
    <w:abstractNumId w:val="24"/>
  </w:num>
  <w:num w:numId="11">
    <w:abstractNumId w:val="2"/>
  </w:num>
  <w:num w:numId="12">
    <w:abstractNumId w:val="22"/>
  </w:num>
  <w:num w:numId="13">
    <w:abstractNumId w:val="17"/>
  </w:num>
  <w:num w:numId="14">
    <w:abstractNumId w:val="27"/>
  </w:num>
  <w:num w:numId="15">
    <w:abstractNumId w:val="28"/>
  </w:num>
  <w:num w:numId="16">
    <w:abstractNumId w:val="33"/>
  </w:num>
  <w:num w:numId="17">
    <w:abstractNumId w:val="0"/>
  </w:num>
  <w:num w:numId="18">
    <w:abstractNumId w:val="31"/>
  </w:num>
  <w:num w:numId="19">
    <w:abstractNumId w:val="29"/>
  </w:num>
  <w:num w:numId="2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
  </w:num>
  <w:num w:numId="23">
    <w:abstractNumId w:val="21"/>
  </w:num>
  <w:num w:numId="24">
    <w:abstractNumId w:val="19"/>
  </w:num>
  <w:num w:numId="25">
    <w:abstractNumId w:val="20"/>
  </w:num>
  <w:num w:numId="26">
    <w:abstractNumId w:val="34"/>
  </w:num>
  <w:num w:numId="27">
    <w:abstractNumId w:val="23"/>
  </w:num>
  <w:num w:numId="28">
    <w:abstractNumId w:val="32"/>
  </w:num>
  <w:num w:numId="29">
    <w:abstractNumId w:val="16"/>
  </w:num>
  <w:num w:numId="30">
    <w:abstractNumId w:val="7"/>
  </w:num>
  <w:num w:numId="31">
    <w:abstractNumId w:val="25"/>
  </w:num>
  <w:num w:numId="32">
    <w:abstractNumId w:val="30"/>
  </w:num>
  <w:num w:numId="33">
    <w:abstractNumId w:val="10"/>
  </w:num>
  <w:num w:numId="34">
    <w:abstractNumId w:val="15"/>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63DD"/>
    <w:rsid w:val="000136BA"/>
    <w:rsid w:val="000144AF"/>
    <w:rsid w:val="00017B5D"/>
    <w:rsid w:val="00017ED2"/>
    <w:rsid w:val="00023BE3"/>
    <w:rsid w:val="00027433"/>
    <w:rsid w:val="00030BB8"/>
    <w:rsid w:val="00031CC0"/>
    <w:rsid w:val="00033396"/>
    <w:rsid w:val="0003750C"/>
    <w:rsid w:val="00037596"/>
    <w:rsid w:val="0004290B"/>
    <w:rsid w:val="000449FC"/>
    <w:rsid w:val="000459C8"/>
    <w:rsid w:val="000460EC"/>
    <w:rsid w:val="000466CB"/>
    <w:rsid w:val="00046795"/>
    <w:rsid w:val="00050263"/>
    <w:rsid w:val="00050F36"/>
    <w:rsid w:val="0005256B"/>
    <w:rsid w:val="000545E6"/>
    <w:rsid w:val="00055538"/>
    <w:rsid w:val="00055576"/>
    <w:rsid w:val="00062EDB"/>
    <w:rsid w:val="000638E6"/>
    <w:rsid w:val="00063DD0"/>
    <w:rsid w:val="00065309"/>
    <w:rsid w:val="000656BA"/>
    <w:rsid w:val="00070854"/>
    <w:rsid w:val="00070DB3"/>
    <w:rsid w:val="000718AD"/>
    <w:rsid w:val="00075C49"/>
    <w:rsid w:val="0007769F"/>
    <w:rsid w:val="000819A1"/>
    <w:rsid w:val="0008384D"/>
    <w:rsid w:val="0008418A"/>
    <w:rsid w:val="00092310"/>
    <w:rsid w:val="000935EC"/>
    <w:rsid w:val="00093925"/>
    <w:rsid w:val="00097CD4"/>
    <w:rsid w:val="000A27DD"/>
    <w:rsid w:val="000A2D31"/>
    <w:rsid w:val="000A4DA2"/>
    <w:rsid w:val="000A62A6"/>
    <w:rsid w:val="000B19DE"/>
    <w:rsid w:val="000B2167"/>
    <w:rsid w:val="000B3D81"/>
    <w:rsid w:val="000B54B8"/>
    <w:rsid w:val="000B68FE"/>
    <w:rsid w:val="000C0887"/>
    <w:rsid w:val="000C0938"/>
    <w:rsid w:val="000C17F9"/>
    <w:rsid w:val="000C2A49"/>
    <w:rsid w:val="000C2BA6"/>
    <w:rsid w:val="000C3F05"/>
    <w:rsid w:val="000C42D5"/>
    <w:rsid w:val="000C6F74"/>
    <w:rsid w:val="000C794F"/>
    <w:rsid w:val="000D3886"/>
    <w:rsid w:val="000D5EE4"/>
    <w:rsid w:val="000D7CFC"/>
    <w:rsid w:val="000E6311"/>
    <w:rsid w:val="000F59B3"/>
    <w:rsid w:val="000F71EF"/>
    <w:rsid w:val="001005A6"/>
    <w:rsid w:val="0010252A"/>
    <w:rsid w:val="00103DB9"/>
    <w:rsid w:val="00105D7B"/>
    <w:rsid w:val="001128A5"/>
    <w:rsid w:val="00113D1D"/>
    <w:rsid w:val="001146D7"/>
    <w:rsid w:val="00115F20"/>
    <w:rsid w:val="00116B42"/>
    <w:rsid w:val="00123FDD"/>
    <w:rsid w:val="00124587"/>
    <w:rsid w:val="00127916"/>
    <w:rsid w:val="00133301"/>
    <w:rsid w:val="0013504F"/>
    <w:rsid w:val="00136BE0"/>
    <w:rsid w:val="0014729D"/>
    <w:rsid w:val="001552A1"/>
    <w:rsid w:val="001563F5"/>
    <w:rsid w:val="00157882"/>
    <w:rsid w:val="00161A53"/>
    <w:rsid w:val="001627B5"/>
    <w:rsid w:val="00163B60"/>
    <w:rsid w:val="00165103"/>
    <w:rsid w:val="0016765A"/>
    <w:rsid w:val="00172C28"/>
    <w:rsid w:val="00174D10"/>
    <w:rsid w:val="0017610B"/>
    <w:rsid w:val="00181021"/>
    <w:rsid w:val="001817D8"/>
    <w:rsid w:val="001904F6"/>
    <w:rsid w:val="00190714"/>
    <w:rsid w:val="0019552B"/>
    <w:rsid w:val="001A300F"/>
    <w:rsid w:val="001A3503"/>
    <w:rsid w:val="001A55F0"/>
    <w:rsid w:val="001A7287"/>
    <w:rsid w:val="001A7937"/>
    <w:rsid w:val="001A7BFA"/>
    <w:rsid w:val="001B0112"/>
    <w:rsid w:val="001B0243"/>
    <w:rsid w:val="001B2F8A"/>
    <w:rsid w:val="001B713D"/>
    <w:rsid w:val="001C0252"/>
    <w:rsid w:val="001C23FD"/>
    <w:rsid w:val="001C6BF4"/>
    <w:rsid w:val="001D1BE5"/>
    <w:rsid w:val="001D1F57"/>
    <w:rsid w:val="001D5A1A"/>
    <w:rsid w:val="001D6341"/>
    <w:rsid w:val="001D68F0"/>
    <w:rsid w:val="001D76DC"/>
    <w:rsid w:val="001E3197"/>
    <w:rsid w:val="001E5F28"/>
    <w:rsid w:val="001E6A0F"/>
    <w:rsid w:val="002015BB"/>
    <w:rsid w:val="0020410A"/>
    <w:rsid w:val="002056F0"/>
    <w:rsid w:val="00207377"/>
    <w:rsid w:val="0021345B"/>
    <w:rsid w:val="00230E45"/>
    <w:rsid w:val="0023498A"/>
    <w:rsid w:val="00235E08"/>
    <w:rsid w:val="002378DE"/>
    <w:rsid w:val="00240637"/>
    <w:rsid w:val="00242B20"/>
    <w:rsid w:val="00243AA5"/>
    <w:rsid w:val="0024522E"/>
    <w:rsid w:val="002469C0"/>
    <w:rsid w:val="00246A96"/>
    <w:rsid w:val="002506CD"/>
    <w:rsid w:val="00252411"/>
    <w:rsid w:val="00253A43"/>
    <w:rsid w:val="002544D3"/>
    <w:rsid w:val="00255DC9"/>
    <w:rsid w:val="00256841"/>
    <w:rsid w:val="0027195F"/>
    <w:rsid w:val="002749C1"/>
    <w:rsid w:val="002806B4"/>
    <w:rsid w:val="0028223B"/>
    <w:rsid w:val="00282D9B"/>
    <w:rsid w:val="00286729"/>
    <w:rsid w:val="00291CCD"/>
    <w:rsid w:val="00294DBF"/>
    <w:rsid w:val="002959F8"/>
    <w:rsid w:val="00297D31"/>
    <w:rsid w:val="002A60CE"/>
    <w:rsid w:val="002A7061"/>
    <w:rsid w:val="002B2032"/>
    <w:rsid w:val="002B41B2"/>
    <w:rsid w:val="002B594B"/>
    <w:rsid w:val="002B7997"/>
    <w:rsid w:val="002B7F8F"/>
    <w:rsid w:val="002C15F7"/>
    <w:rsid w:val="002C7559"/>
    <w:rsid w:val="002D50A7"/>
    <w:rsid w:val="002E3C26"/>
    <w:rsid w:val="002E4E04"/>
    <w:rsid w:val="002F155B"/>
    <w:rsid w:val="002F4A2E"/>
    <w:rsid w:val="002F7958"/>
    <w:rsid w:val="00300946"/>
    <w:rsid w:val="0030412A"/>
    <w:rsid w:val="00304DF3"/>
    <w:rsid w:val="00304E70"/>
    <w:rsid w:val="00312127"/>
    <w:rsid w:val="00312AFC"/>
    <w:rsid w:val="00332F85"/>
    <w:rsid w:val="00333E8D"/>
    <w:rsid w:val="00336D91"/>
    <w:rsid w:val="00336EDC"/>
    <w:rsid w:val="003451C9"/>
    <w:rsid w:val="00347368"/>
    <w:rsid w:val="00351967"/>
    <w:rsid w:val="00356A25"/>
    <w:rsid w:val="0036125F"/>
    <w:rsid w:val="0036139C"/>
    <w:rsid w:val="00361501"/>
    <w:rsid w:val="00362E3C"/>
    <w:rsid w:val="00363215"/>
    <w:rsid w:val="003672AF"/>
    <w:rsid w:val="00373002"/>
    <w:rsid w:val="00374F3B"/>
    <w:rsid w:val="003838CB"/>
    <w:rsid w:val="0039190B"/>
    <w:rsid w:val="00394B5F"/>
    <w:rsid w:val="00395193"/>
    <w:rsid w:val="003B1CB6"/>
    <w:rsid w:val="003B29A3"/>
    <w:rsid w:val="003B3080"/>
    <w:rsid w:val="003B42BD"/>
    <w:rsid w:val="003B4817"/>
    <w:rsid w:val="003B5D31"/>
    <w:rsid w:val="003B7D35"/>
    <w:rsid w:val="003B7EDE"/>
    <w:rsid w:val="003C3545"/>
    <w:rsid w:val="003C5A89"/>
    <w:rsid w:val="003D104E"/>
    <w:rsid w:val="003D2F13"/>
    <w:rsid w:val="003D47A4"/>
    <w:rsid w:val="003D5241"/>
    <w:rsid w:val="003D52DB"/>
    <w:rsid w:val="003D6861"/>
    <w:rsid w:val="003D768F"/>
    <w:rsid w:val="003D7911"/>
    <w:rsid w:val="003D7EEE"/>
    <w:rsid w:val="003E0264"/>
    <w:rsid w:val="003E02C0"/>
    <w:rsid w:val="003E17A1"/>
    <w:rsid w:val="003E292F"/>
    <w:rsid w:val="003E3541"/>
    <w:rsid w:val="003E619D"/>
    <w:rsid w:val="003E626B"/>
    <w:rsid w:val="003F118F"/>
    <w:rsid w:val="003F30B4"/>
    <w:rsid w:val="003F40A8"/>
    <w:rsid w:val="003F51CC"/>
    <w:rsid w:val="003F6768"/>
    <w:rsid w:val="0040212D"/>
    <w:rsid w:val="0040387A"/>
    <w:rsid w:val="0041020F"/>
    <w:rsid w:val="00410A7D"/>
    <w:rsid w:val="004151F1"/>
    <w:rsid w:val="0041704D"/>
    <w:rsid w:val="0041731B"/>
    <w:rsid w:val="004208AA"/>
    <w:rsid w:val="00423BE9"/>
    <w:rsid w:val="00425817"/>
    <w:rsid w:val="00426907"/>
    <w:rsid w:val="00432ED8"/>
    <w:rsid w:val="00433A78"/>
    <w:rsid w:val="00445293"/>
    <w:rsid w:val="00450818"/>
    <w:rsid w:val="00460222"/>
    <w:rsid w:val="00462C18"/>
    <w:rsid w:val="004634F0"/>
    <w:rsid w:val="004658AD"/>
    <w:rsid w:val="004748BF"/>
    <w:rsid w:val="00474E2A"/>
    <w:rsid w:val="00477E14"/>
    <w:rsid w:val="004823AD"/>
    <w:rsid w:val="00482BAD"/>
    <w:rsid w:val="00483CCA"/>
    <w:rsid w:val="00492151"/>
    <w:rsid w:val="00495F9E"/>
    <w:rsid w:val="00496099"/>
    <w:rsid w:val="00496E55"/>
    <w:rsid w:val="004A01D2"/>
    <w:rsid w:val="004A3AA7"/>
    <w:rsid w:val="004A6BA7"/>
    <w:rsid w:val="004A7C8A"/>
    <w:rsid w:val="004B1EBD"/>
    <w:rsid w:val="004C1AC2"/>
    <w:rsid w:val="004C251E"/>
    <w:rsid w:val="004C3732"/>
    <w:rsid w:val="004C47B5"/>
    <w:rsid w:val="004C6907"/>
    <w:rsid w:val="004D2E7F"/>
    <w:rsid w:val="004D45F3"/>
    <w:rsid w:val="004E2152"/>
    <w:rsid w:val="004E35BA"/>
    <w:rsid w:val="004E565C"/>
    <w:rsid w:val="004E5BF8"/>
    <w:rsid w:val="004F04A1"/>
    <w:rsid w:val="004F56BB"/>
    <w:rsid w:val="00500B86"/>
    <w:rsid w:val="00507022"/>
    <w:rsid w:val="00512208"/>
    <w:rsid w:val="00512FAE"/>
    <w:rsid w:val="00526D00"/>
    <w:rsid w:val="005331EB"/>
    <w:rsid w:val="00534CDF"/>
    <w:rsid w:val="00535B6C"/>
    <w:rsid w:val="0054058F"/>
    <w:rsid w:val="00543249"/>
    <w:rsid w:val="00543F5C"/>
    <w:rsid w:val="005466DC"/>
    <w:rsid w:val="00550ABD"/>
    <w:rsid w:val="00551824"/>
    <w:rsid w:val="00552652"/>
    <w:rsid w:val="00560ECA"/>
    <w:rsid w:val="00562510"/>
    <w:rsid w:val="00566166"/>
    <w:rsid w:val="00566FE3"/>
    <w:rsid w:val="00570710"/>
    <w:rsid w:val="00571AD3"/>
    <w:rsid w:val="00574103"/>
    <w:rsid w:val="005769DE"/>
    <w:rsid w:val="005775C8"/>
    <w:rsid w:val="00583CB0"/>
    <w:rsid w:val="00586615"/>
    <w:rsid w:val="005959FD"/>
    <w:rsid w:val="0059752C"/>
    <w:rsid w:val="005A27CE"/>
    <w:rsid w:val="005A5CC3"/>
    <w:rsid w:val="005A5CD8"/>
    <w:rsid w:val="005B1322"/>
    <w:rsid w:val="005B1504"/>
    <w:rsid w:val="005C3EC4"/>
    <w:rsid w:val="005C41F3"/>
    <w:rsid w:val="005C4620"/>
    <w:rsid w:val="005C7B0B"/>
    <w:rsid w:val="005D24DB"/>
    <w:rsid w:val="005D7DAE"/>
    <w:rsid w:val="005E28F5"/>
    <w:rsid w:val="005E2A61"/>
    <w:rsid w:val="005E4463"/>
    <w:rsid w:val="005E5B86"/>
    <w:rsid w:val="005F020C"/>
    <w:rsid w:val="005F4354"/>
    <w:rsid w:val="005F5A97"/>
    <w:rsid w:val="005F5DA0"/>
    <w:rsid w:val="00601A68"/>
    <w:rsid w:val="00602A47"/>
    <w:rsid w:val="00605523"/>
    <w:rsid w:val="0060621F"/>
    <w:rsid w:val="0060783B"/>
    <w:rsid w:val="006162CA"/>
    <w:rsid w:val="00620047"/>
    <w:rsid w:val="00626AE4"/>
    <w:rsid w:val="0062750E"/>
    <w:rsid w:val="00630251"/>
    <w:rsid w:val="006307A7"/>
    <w:rsid w:val="00632B41"/>
    <w:rsid w:val="00634649"/>
    <w:rsid w:val="00641425"/>
    <w:rsid w:val="00641A81"/>
    <w:rsid w:val="006475F2"/>
    <w:rsid w:val="00652336"/>
    <w:rsid w:val="00652384"/>
    <w:rsid w:val="00652D34"/>
    <w:rsid w:val="006539F8"/>
    <w:rsid w:val="00654463"/>
    <w:rsid w:val="00661363"/>
    <w:rsid w:val="0066530B"/>
    <w:rsid w:val="00665435"/>
    <w:rsid w:val="00666020"/>
    <w:rsid w:val="00670062"/>
    <w:rsid w:val="00670919"/>
    <w:rsid w:val="00671ECB"/>
    <w:rsid w:val="00672C37"/>
    <w:rsid w:val="00674AFC"/>
    <w:rsid w:val="006853FE"/>
    <w:rsid w:val="006A0231"/>
    <w:rsid w:val="006A16E9"/>
    <w:rsid w:val="006A4EB1"/>
    <w:rsid w:val="006A5B3D"/>
    <w:rsid w:val="006A5DFF"/>
    <w:rsid w:val="006A5F3F"/>
    <w:rsid w:val="006A6CF1"/>
    <w:rsid w:val="006B0544"/>
    <w:rsid w:val="006B055F"/>
    <w:rsid w:val="006B353C"/>
    <w:rsid w:val="006C1E6B"/>
    <w:rsid w:val="006D0DFD"/>
    <w:rsid w:val="006D2AE3"/>
    <w:rsid w:val="006D3A92"/>
    <w:rsid w:val="006E0446"/>
    <w:rsid w:val="006E4732"/>
    <w:rsid w:val="006E4FC6"/>
    <w:rsid w:val="006F07EF"/>
    <w:rsid w:val="006F1AD9"/>
    <w:rsid w:val="007008B2"/>
    <w:rsid w:val="00700BF6"/>
    <w:rsid w:val="007037A4"/>
    <w:rsid w:val="00703825"/>
    <w:rsid w:val="00704C2B"/>
    <w:rsid w:val="007050D8"/>
    <w:rsid w:val="007050EA"/>
    <w:rsid w:val="00710459"/>
    <w:rsid w:val="00722F2F"/>
    <w:rsid w:val="007277A5"/>
    <w:rsid w:val="00736D90"/>
    <w:rsid w:val="00737178"/>
    <w:rsid w:val="007434D9"/>
    <w:rsid w:val="007464BD"/>
    <w:rsid w:val="00746815"/>
    <w:rsid w:val="0075038E"/>
    <w:rsid w:val="007563B5"/>
    <w:rsid w:val="0076117A"/>
    <w:rsid w:val="007674FB"/>
    <w:rsid w:val="007678EB"/>
    <w:rsid w:val="00767AF9"/>
    <w:rsid w:val="00772372"/>
    <w:rsid w:val="00772D11"/>
    <w:rsid w:val="007764AD"/>
    <w:rsid w:val="007773B8"/>
    <w:rsid w:val="007774B2"/>
    <w:rsid w:val="00780CD5"/>
    <w:rsid w:val="00781A12"/>
    <w:rsid w:val="00782151"/>
    <w:rsid w:val="007825C2"/>
    <w:rsid w:val="007848EB"/>
    <w:rsid w:val="0079006E"/>
    <w:rsid w:val="007902A0"/>
    <w:rsid w:val="00795D54"/>
    <w:rsid w:val="007A2A58"/>
    <w:rsid w:val="007B122A"/>
    <w:rsid w:val="007B44A7"/>
    <w:rsid w:val="007C1766"/>
    <w:rsid w:val="007C7956"/>
    <w:rsid w:val="007D6BE3"/>
    <w:rsid w:val="007D6E6C"/>
    <w:rsid w:val="007D7DCF"/>
    <w:rsid w:val="007E26F6"/>
    <w:rsid w:val="007E4666"/>
    <w:rsid w:val="007E4947"/>
    <w:rsid w:val="007E5673"/>
    <w:rsid w:val="007E5A44"/>
    <w:rsid w:val="007F2CBA"/>
    <w:rsid w:val="007F2F29"/>
    <w:rsid w:val="007F3D6A"/>
    <w:rsid w:val="007F46B9"/>
    <w:rsid w:val="007F73D0"/>
    <w:rsid w:val="00803692"/>
    <w:rsid w:val="00804F5C"/>
    <w:rsid w:val="00805347"/>
    <w:rsid w:val="008057E3"/>
    <w:rsid w:val="00805C46"/>
    <w:rsid w:val="008067F9"/>
    <w:rsid w:val="00806AA3"/>
    <w:rsid w:val="00815536"/>
    <w:rsid w:val="0081563B"/>
    <w:rsid w:val="00815ED7"/>
    <w:rsid w:val="008163E0"/>
    <w:rsid w:val="00820B7C"/>
    <w:rsid w:val="008216D9"/>
    <w:rsid w:val="00825FAD"/>
    <w:rsid w:val="00825FBD"/>
    <w:rsid w:val="0082645E"/>
    <w:rsid w:val="00832EAA"/>
    <w:rsid w:val="008474F3"/>
    <w:rsid w:val="00851A8E"/>
    <w:rsid w:val="00854D10"/>
    <w:rsid w:val="008575E2"/>
    <w:rsid w:val="008603F5"/>
    <w:rsid w:val="00863910"/>
    <w:rsid w:val="008711DF"/>
    <w:rsid w:val="0087229B"/>
    <w:rsid w:val="00873FD1"/>
    <w:rsid w:val="0087425C"/>
    <w:rsid w:val="00882958"/>
    <w:rsid w:val="00882FCB"/>
    <w:rsid w:val="00883948"/>
    <w:rsid w:val="00885145"/>
    <w:rsid w:val="008938F2"/>
    <w:rsid w:val="00895E98"/>
    <w:rsid w:val="008A3D6B"/>
    <w:rsid w:val="008A4E56"/>
    <w:rsid w:val="008A71A2"/>
    <w:rsid w:val="008B3F4F"/>
    <w:rsid w:val="008B7D72"/>
    <w:rsid w:val="008B7E65"/>
    <w:rsid w:val="008D0FC4"/>
    <w:rsid w:val="008D6DF4"/>
    <w:rsid w:val="008E7308"/>
    <w:rsid w:val="008F0CE5"/>
    <w:rsid w:val="008F5CB9"/>
    <w:rsid w:val="008F7190"/>
    <w:rsid w:val="0090490B"/>
    <w:rsid w:val="00904976"/>
    <w:rsid w:val="009102FB"/>
    <w:rsid w:val="00912AB3"/>
    <w:rsid w:val="00912DB0"/>
    <w:rsid w:val="00914AAA"/>
    <w:rsid w:val="009153C8"/>
    <w:rsid w:val="0092448C"/>
    <w:rsid w:val="00940BD4"/>
    <w:rsid w:val="00946A61"/>
    <w:rsid w:val="009503CF"/>
    <w:rsid w:val="00951490"/>
    <w:rsid w:val="009515CA"/>
    <w:rsid w:val="009515E5"/>
    <w:rsid w:val="009538A5"/>
    <w:rsid w:val="00955877"/>
    <w:rsid w:val="00963829"/>
    <w:rsid w:val="009713EE"/>
    <w:rsid w:val="00971581"/>
    <w:rsid w:val="00974C2E"/>
    <w:rsid w:val="00982A06"/>
    <w:rsid w:val="00982B9F"/>
    <w:rsid w:val="0098581A"/>
    <w:rsid w:val="00991606"/>
    <w:rsid w:val="00994B3B"/>
    <w:rsid w:val="009A1685"/>
    <w:rsid w:val="009A1760"/>
    <w:rsid w:val="009A561C"/>
    <w:rsid w:val="009A5889"/>
    <w:rsid w:val="009A6B11"/>
    <w:rsid w:val="009B02A8"/>
    <w:rsid w:val="009B1340"/>
    <w:rsid w:val="009B1B89"/>
    <w:rsid w:val="009B2190"/>
    <w:rsid w:val="009B2326"/>
    <w:rsid w:val="009B454F"/>
    <w:rsid w:val="009B73E6"/>
    <w:rsid w:val="009C34C2"/>
    <w:rsid w:val="009C7F58"/>
    <w:rsid w:val="009D5A77"/>
    <w:rsid w:val="009E1DB2"/>
    <w:rsid w:val="009E795F"/>
    <w:rsid w:val="009F721E"/>
    <w:rsid w:val="00A05A9B"/>
    <w:rsid w:val="00A1775F"/>
    <w:rsid w:val="00A205AD"/>
    <w:rsid w:val="00A236C6"/>
    <w:rsid w:val="00A260B0"/>
    <w:rsid w:val="00A30B26"/>
    <w:rsid w:val="00A3278B"/>
    <w:rsid w:val="00A33569"/>
    <w:rsid w:val="00A369C5"/>
    <w:rsid w:val="00A42E4B"/>
    <w:rsid w:val="00A440DA"/>
    <w:rsid w:val="00A44ACB"/>
    <w:rsid w:val="00A455FD"/>
    <w:rsid w:val="00A461C4"/>
    <w:rsid w:val="00A467AA"/>
    <w:rsid w:val="00A5019D"/>
    <w:rsid w:val="00A51E26"/>
    <w:rsid w:val="00A54344"/>
    <w:rsid w:val="00A55EE0"/>
    <w:rsid w:val="00A63561"/>
    <w:rsid w:val="00A70D15"/>
    <w:rsid w:val="00A80CE4"/>
    <w:rsid w:val="00A821F7"/>
    <w:rsid w:val="00A871EA"/>
    <w:rsid w:val="00A90F19"/>
    <w:rsid w:val="00A911A2"/>
    <w:rsid w:val="00A9314C"/>
    <w:rsid w:val="00A956A9"/>
    <w:rsid w:val="00AA0086"/>
    <w:rsid w:val="00AA1216"/>
    <w:rsid w:val="00AA3FC6"/>
    <w:rsid w:val="00AB0FEE"/>
    <w:rsid w:val="00AB3EA6"/>
    <w:rsid w:val="00AB4989"/>
    <w:rsid w:val="00AB4FE4"/>
    <w:rsid w:val="00AB617D"/>
    <w:rsid w:val="00AC228E"/>
    <w:rsid w:val="00AC7814"/>
    <w:rsid w:val="00AD04B5"/>
    <w:rsid w:val="00AD0EED"/>
    <w:rsid w:val="00AD59D9"/>
    <w:rsid w:val="00AD6373"/>
    <w:rsid w:val="00AE2482"/>
    <w:rsid w:val="00AF3B2E"/>
    <w:rsid w:val="00B00BC1"/>
    <w:rsid w:val="00B0206F"/>
    <w:rsid w:val="00B022FE"/>
    <w:rsid w:val="00B0271A"/>
    <w:rsid w:val="00B037E7"/>
    <w:rsid w:val="00B14792"/>
    <w:rsid w:val="00B22795"/>
    <w:rsid w:val="00B23501"/>
    <w:rsid w:val="00B24CEC"/>
    <w:rsid w:val="00B25FAC"/>
    <w:rsid w:val="00B27B0B"/>
    <w:rsid w:val="00B3113A"/>
    <w:rsid w:val="00B41E40"/>
    <w:rsid w:val="00B426B3"/>
    <w:rsid w:val="00B47941"/>
    <w:rsid w:val="00B502B4"/>
    <w:rsid w:val="00B50908"/>
    <w:rsid w:val="00B51252"/>
    <w:rsid w:val="00B5370B"/>
    <w:rsid w:val="00B5776F"/>
    <w:rsid w:val="00B65019"/>
    <w:rsid w:val="00B65872"/>
    <w:rsid w:val="00B67D00"/>
    <w:rsid w:val="00B704EA"/>
    <w:rsid w:val="00B70DE9"/>
    <w:rsid w:val="00B725FB"/>
    <w:rsid w:val="00B74184"/>
    <w:rsid w:val="00B748B3"/>
    <w:rsid w:val="00B74F7C"/>
    <w:rsid w:val="00B75D8C"/>
    <w:rsid w:val="00B77808"/>
    <w:rsid w:val="00B77AB4"/>
    <w:rsid w:val="00B80073"/>
    <w:rsid w:val="00B879CA"/>
    <w:rsid w:val="00B9310A"/>
    <w:rsid w:val="00B945EB"/>
    <w:rsid w:val="00B94AD0"/>
    <w:rsid w:val="00B966E0"/>
    <w:rsid w:val="00BA0EF0"/>
    <w:rsid w:val="00BA5C92"/>
    <w:rsid w:val="00BA70B9"/>
    <w:rsid w:val="00BB1011"/>
    <w:rsid w:val="00BB1C64"/>
    <w:rsid w:val="00BB1CB8"/>
    <w:rsid w:val="00BB1D21"/>
    <w:rsid w:val="00BB36BF"/>
    <w:rsid w:val="00BB3C2E"/>
    <w:rsid w:val="00BB4AAF"/>
    <w:rsid w:val="00BB5F95"/>
    <w:rsid w:val="00BC51D3"/>
    <w:rsid w:val="00BC5F6D"/>
    <w:rsid w:val="00BD61F1"/>
    <w:rsid w:val="00BD6305"/>
    <w:rsid w:val="00BD6A40"/>
    <w:rsid w:val="00BD737D"/>
    <w:rsid w:val="00BE13B4"/>
    <w:rsid w:val="00BE5907"/>
    <w:rsid w:val="00BF0091"/>
    <w:rsid w:val="00BF48F5"/>
    <w:rsid w:val="00BF6B3C"/>
    <w:rsid w:val="00BF7304"/>
    <w:rsid w:val="00C0103B"/>
    <w:rsid w:val="00C02A12"/>
    <w:rsid w:val="00C1100C"/>
    <w:rsid w:val="00C16958"/>
    <w:rsid w:val="00C16EDE"/>
    <w:rsid w:val="00C250C5"/>
    <w:rsid w:val="00C3137C"/>
    <w:rsid w:val="00C34948"/>
    <w:rsid w:val="00C379BF"/>
    <w:rsid w:val="00C42F53"/>
    <w:rsid w:val="00C44E24"/>
    <w:rsid w:val="00C45CB4"/>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1E69"/>
    <w:rsid w:val="00C82B6E"/>
    <w:rsid w:val="00C91319"/>
    <w:rsid w:val="00C9327B"/>
    <w:rsid w:val="00C93FD9"/>
    <w:rsid w:val="00C95F40"/>
    <w:rsid w:val="00C96762"/>
    <w:rsid w:val="00CA2334"/>
    <w:rsid w:val="00CA2E5D"/>
    <w:rsid w:val="00CA443F"/>
    <w:rsid w:val="00CA5473"/>
    <w:rsid w:val="00CA6BB3"/>
    <w:rsid w:val="00CB00A7"/>
    <w:rsid w:val="00CB0B3B"/>
    <w:rsid w:val="00CB0BEB"/>
    <w:rsid w:val="00CB2A3D"/>
    <w:rsid w:val="00CB4820"/>
    <w:rsid w:val="00CB5B6F"/>
    <w:rsid w:val="00CC38C0"/>
    <w:rsid w:val="00CC4F68"/>
    <w:rsid w:val="00CC5410"/>
    <w:rsid w:val="00CD1006"/>
    <w:rsid w:val="00CD4476"/>
    <w:rsid w:val="00CD774E"/>
    <w:rsid w:val="00CE1835"/>
    <w:rsid w:val="00CF2A93"/>
    <w:rsid w:val="00CF41F0"/>
    <w:rsid w:val="00CF4F77"/>
    <w:rsid w:val="00D052DB"/>
    <w:rsid w:val="00D06160"/>
    <w:rsid w:val="00D06F8D"/>
    <w:rsid w:val="00D074BF"/>
    <w:rsid w:val="00D11214"/>
    <w:rsid w:val="00D15323"/>
    <w:rsid w:val="00D15371"/>
    <w:rsid w:val="00D21561"/>
    <w:rsid w:val="00D22DD6"/>
    <w:rsid w:val="00D2534F"/>
    <w:rsid w:val="00D2674D"/>
    <w:rsid w:val="00D302B9"/>
    <w:rsid w:val="00D30B5F"/>
    <w:rsid w:val="00D31FAF"/>
    <w:rsid w:val="00D40B1D"/>
    <w:rsid w:val="00D431C4"/>
    <w:rsid w:val="00D46E52"/>
    <w:rsid w:val="00D62944"/>
    <w:rsid w:val="00D63A5B"/>
    <w:rsid w:val="00D66D62"/>
    <w:rsid w:val="00D702CF"/>
    <w:rsid w:val="00D71138"/>
    <w:rsid w:val="00D71179"/>
    <w:rsid w:val="00D719C6"/>
    <w:rsid w:val="00D725EE"/>
    <w:rsid w:val="00D75745"/>
    <w:rsid w:val="00D8104E"/>
    <w:rsid w:val="00D82568"/>
    <w:rsid w:val="00D85D06"/>
    <w:rsid w:val="00D96806"/>
    <w:rsid w:val="00DA0780"/>
    <w:rsid w:val="00DA12D4"/>
    <w:rsid w:val="00DA3B2F"/>
    <w:rsid w:val="00DA6054"/>
    <w:rsid w:val="00DB0B7E"/>
    <w:rsid w:val="00DB51C0"/>
    <w:rsid w:val="00DC0064"/>
    <w:rsid w:val="00DC014F"/>
    <w:rsid w:val="00DC0225"/>
    <w:rsid w:val="00DC07B0"/>
    <w:rsid w:val="00DC4989"/>
    <w:rsid w:val="00DC5B72"/>
    <w:rsid w:val="00DC6B16"/>
    <w:rsid w:val="00DC737C"/>
    <w:rsid w:val="00DD01B2"/>
    <w:rsid w:val="00DD40F3"/>
    <w:rsid w:val="00DD410C"/>
    <w:rsid w:val="00DD5102"/>
    <w:rsid w:val="00DE0018"/>
    <w:rsid w:val="00DE0139"/>
    <w:rsid w:val="00DE3306"/>
    <w:rsid w:val="00DE6058"/>
    <w:rsid w:val="00DF0A99"/>
    <w:rsid w:val="00DF1EEC"/>
    <w:rsid w:val="00DF76FA"/>
    <w:rsid w:val="00E0647F"/>
    <w:rsid w:val="00E07169"/>
    <w:rsid w:val="00E10E71"/>
    <w:rsid w:val="00E13327"/>
    <w:rsid w:val="00E22856"/>
    <w:rsid w:val="00E27D57"/>
    <w:rsid w:val="00E30766"/>
    <w:rsid w:val="00E32D62"/>
    <w:rsid w:val="00E349AC"/>
    <w:rsid w:val="00E369F7"/>
    <w:rsid w:val="00E36A4E"/>
    <w:rsid w:val="00E42307"/>
    <w:rsid w:val="00E42D22"/>
    <w:rsid w:val="00E451C1"/>
    <w:rsid w:val="00E521CD"/>
    <w:rsid w:val="00E60D04"/>
    <w:rsid w:val="00E64628"/>
    <w:rsid w:val="00E64C5B"/>
    <w:rsid w:val="00E673CF"/>
    <w:rsid w:val="00E706CF"/>
    <w:rsid w:val="00E70F39"/>
    <w:rsid w:val="00E71E5F"/>
    <w:rsid w:val="00E72E82"/>
    <w:rsid w:val="00E759BD"/>
    <w:rsid w:val="00E7683C"/>
    <w:rsid w:val="00E77966"/>
    <w:rsid w:val="00E81132"/>
    <w:rsid w:val="00E97C6A"/>
    <w:rsid w:val="00EA042C"/>
    <w:rsid w:val="00EA1DEC"/>
    <w:rsid w:val="00EA23E5"/>
    <w:rsid w:val="00EA604C"/>
    <w:rsid w:val="00EB2BF0"/>
    <w:rsid w:val="00EB3F96"/>
    <w:rsid w:val="00EB56F0"/>
    <w:rsid w:val="00EB6163"/>
    <w:rsid w:val="00EB62BE"/>
    <w:rsid w:val="00EC0A10"/>
    <w:rsid w:val="00EC0B9F"/>
    <w:rsid w:val="00EC151C"/>
    <w:rsid w:val="00EC3BE1"/>
    <w:rsid w:val="00EC4B2D"/>
    <w:rsid w:val="00EC50D1"/>
    <w:rsid w:val="00ED02A1"/>
    <w:rsid w:val="00ED755F"/>
    <w:rsid w:val="00EE090C"/>
    <w:rsid w:val="00EE21F6"/>
    <w:rsid w:val="00EE5402"/>
    <w:rsid w:val="00EE5F75"/>
    <w:rsid w:val="00EE6276"/>
    <w:rsid w:val="00EE6FC6"/>
    <w:rsid w:val="00EF1628"/>
    <w:rsid w:val="00F0500A"/>
    <w:rsid w:val="00F05059"/>
    <w:rsid w:val="00F05559"/>
    <w:rsid w:val="00F101E7"/>
    <w:rsid w:val="00F13DD2"/>
    <w:rsid w:val="00F14EFD"/>
    <w:rsid w:val="00F15D42"/>
    <w:rsid w:val="00F1797A"/>
    <w:rsid w:val="00F200CF"/>
    <w:rsid w:val="00F2204E"/>
    <w:rsid w:val="00F247E9"/>
    <w:rsid w:val="00F267A9"/>
    <w:rsid w:val="00F3402C"/>
    <w:rsid w:val="00F417A2"/>
    <w:rsid w:val="00F50CC4"/>
    <w:rsid w:val="00F527CF"/>
    <w:rsid w:val="00F539C1"/>
    <w:rsid w:val="00F61222"/>
    <w:rsid w:val="00F645EA"/>
    <w:rsid w:val="00F656B7"/>
    <w:rsid w:val="00F656E8"/>
    <w:rsid w:val="00F65C5E"/>
    <w:rsid w:val="00F6774A"/>
    <w:rsid w:val="00F67A9F"/>
    <w:rsid w:val="00F70390"/>
    <w:rsid w:val="00F71857"/>
    <w:rsid w:val="00F77170"/>
    <w:rsid w:val="00F826AB"/>
    <w:rsid w:val="00F87655"/>
    <w:rsid w:val="00F9529A"/>
    <w:rsid w:val="00FB252C"/>
    <w:rsid w:val="00FB29DF"/>
    <w:rsid w:val="00FB31D1"/>
    <w:rsid w:val="00FB6379"/>
    <w:rsid w:val="00FB6D58"/>
    <w:rsid w:val="00FB6DA9"/>
    <w:rsid w:val="00FB7C59"/>
    <w:rsid w:val="00FC0C86"/>
    <w:rsid w:val="00FC15A5"/>
    <w:rsid w:val="00FC2397"/>
    <w:rsid w:val="00FC3677"/>
    <w:rsid w:val="00FC4633"/>
    <w:rsid w:val="00FC57E7"/>
    <w:rsid w:val="00FC5B5F"/>
    <w:rsid w:val="00FC6F6A"/>
    <w:rsid w:val="00FC7A15"/>
    <w:rsid w:val="00FC7BBB"/>
    <w:rsid w:val="00FD0BAE"/>
    <w:rsid w:val="00FD3C7D"/>
    <w:rsid w:val="00FD43AA"/>
    <w:rsid w:val="00FD7F7E"/>
    <w:rsid w:val="00FE5389"/>
    <w:rsid w:val="00FE7067"/>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printedpage">
    <w:name w:val="printed_page"/>
    <w:basedOn w:val="DefaultParagraphFont"/>
    <w:rsid w:val="00345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hr@drummond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rummondgroup.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dge.nist.gov/ett/" TargetMode="External"/><Relationship Id="rId4" Type="http://schemas.openxmlformats.org/officeDocument/2006/relationships/settings" Target="settings.xml"/><Relationship Id="rId9" Type="http://schemas.openxmlformats.org/officeDocument/2006/relationships/hyperlink" Target="https://edge.nist.gov/et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362A9-F116-4FF7-80BB-11596E3C7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10493</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12</cp:revision>
  <dcterms:created xsi:type="dcterms:W3CDTF">2016-03-01T18:10:00Z</dcterms:created>
  <dcterms:modified xsi:type="dcterms:W3CDTF">2017-01-03T17:32:00Z</dcterms:modified>
</cp:coreProperties>
</file>