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2484F">
        <w:t>170.315.d.11</w:t>
      </w:r>
      <w:r w:rsidR="003E72FF" w:rsidRPr="00BD2A8D">
        <w:t xml:space="preserve"> – </w:t>
      </w:r>
      <w:r w:rsidR="00A2484F">
        <w:t>Accounting of Disclosures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9F2C0E" w:rsidTr="00DC0225">
        <w:trPr>
          <w:trHeight w:val="331"/>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bookmarkStart w:id="0" w:name="_GoBack" w:colFirst="0" w:colLast="0"/>
            <w:r w:rsidRPr="00DC0225">
              <w:rPr>
                <w:rFonts w:ascii="Leelawadee UI" w:hAnsi="Leelawadee UI" w:cs="Leelawadee UI"/>
                <w:sz w:val="22"/>
                <w:szCs w:val="22"/>
              </w:rPr>
              <w:t>Participant and Product-with-version</w:t>
            </w:r>
          </w:p>
        </w:tc>
        <w:tc>
          <w:tcPr>
            <w:tcW w:w="4854" w:type="dxa"/>
            <w:shd w:val="clear" w:color="auto" w:fill="FFFFFF" w:themeFill="background1"/>
          </w:tcPr>
          <w:p w:rsidR="009F2C0E" w:rsidRPr="00DC0225" w:rsidRDefault="009F2C0E" w:rsidP="009F2C0E">
            <w:pPr>
              <w:rPr>
                <w:rFonts w:ascii="Leelawadee UI" w:hAnsi="Leelawadee UI" w:cs="Leelawadee UI"/>
              </w:rPr>
            </w:pPr>
          </w:p>
        </w:tc>
      </w:tr>
      <w:bookmarkEnd w:id="0"/>
      <w:tr w:rsidR="009F2C0E" w:rsidTr="00DC0225">
        <w:trPr>
          <w:trHeight w:val="331"/>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9F2C0E" w:rsidRPr="00DC0225" w:rsidRDefault="009F2C0E" w:rsidP="009F2C0E">
            <w:pPr>
              <w:rPr>
                <w:rFonts w:ascii="Leelawadee UI" w:hAnsi="Leelawadee UI" w:cs="Leelawadee UI"/>
              </w:rPr>
            </w:pPr>
          </w:p>
        </w:tc>
      </w:tr>
      <w:tr w:rsidR="009F2C0E" w:rsidTr="00DC0225">
        <w:trPr>
          <w:trHeight w:val="331"/>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9F2C0E" w:rsidRPr="00DC0225" w:rsidRDefault="009F2C0E" w:rsidP="009F2C0E">
            <w:pPr>
              <w:rPr>
                <w:rFonts w:ascii="Leelawadee UI" w:hAnsi="Leelawadee UI" w:cs="Leelawadee UI"/>
              </w:rPr>
            </w:pPr>
          </w:p>
        </w:tc>
      </w:tr>
      <w:tr w:rsidR="009F2C0E" w:rsidTr="00DC0225">
        <w:trPr>
          <w:trHeight w:val="331"/>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9F2C0E" w:rsidRPr="00DC0225" w:rsidRDefault="009F2C0E" w:rsidP="009F2C0E">
            <w:pPr>
              <w:rPr>
                <w:rFonts w:ascii="Leelawadee UI" w:hAnsi="Leelawadee UI" w:cs="Leelawadee UI"/>
              </w:rPr>
            </w:pPr>
          </w:p>
        </w:tc>
      </w:tr>
      <w:tr w:rsidR="009F2C0E" w:rsidTr="00DC0225">
        <w:trPr>
          <w:trHeight w:val="350"/>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9F2C0E" w:rsidRPr="00DC0225" w:rsidRDefault="009F2C0E" w:rsidP="009F2C0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9F2C0E" w:rsidTr="00DC0225">
        <w:trPr>
          <w:trHeight w:val="350"/>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9F2C0E" w:rsidRPr="00DC0225" w:rsidRDefault="009F2C0E" w:rsidP="009F2C0E">
            <w:pPr>
              <w:rPr>
                <w:rFonts w:ascii="Leelawadee UI" w:hAnsi="Leelawadee UI" w:cs="Leelawadee UI"/>
              </w:rPr>
            </w:pPr>
          </w:p>
        </w:tc>
      </w:tr>
      <w:tr w:rsidR="009F2C0E" w:rsidTr="00DC0225">
        <w:trPr>
          <w:trHeight w:val="350"/>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9F2C0E" w:rsidRPr="00DC0225" w:rsidRDefault="009F2C0E" w:rsidP="009F2C0E">
            <w:pPr>
              <w:rPr>
                <w:rFonts w:ascii="Leelawadee UI" w:hAnsi="Leelawadee UI" w:cs="Leelawadee UI"/>
              </w:rPr>
            </w:pPr>
          </w:p>
        </w:tc>
      </w:tr>
      <w:tr w:rsidR="009F2C0E" w:rsidTr="00DC0225">
        <w:trPr>
          <w:trHeight w:val="350"/>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9F2C0E" w:rsidRPr="00DC0225" w:rsidRDefault="009F2C0E" w:rsidP="009F2C0E">
            <w:pPr>
              <w:rPr>
                <w:rFonts w:ascii="Leelawadee UI" w:hAnsi="Leelawadee UI" w:cs="Leelawadee UI"/>
              </w:rPr>
            </w:pPr>
          </w:p>
        </w:tc>
      </w:tr>
      <w:tr w:rsidR="009F2C0E" w:rsidTr="00DC0225">
        <w:trPr>
          <w:trHeight w:val="313"/>
        </w:trPr>
        <w:tc>
          <w:tcPr>
            <w:tcW w:w="4045" w:type="dxa"/>
            <w:shd w:val="clear" w:color="auto" w:fill="FFFFFF" w:themeFill="background1"/>
          </w:tcPr>
          <w:p w:rsidR="009F2C0E" w:rsidRPr="00DC0225" w:rsidRDefault="009F2C0E" w:rsidP="009F2C0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9F2C0E" w:rsidRPr="00DC0225" w:rsidRDefault="009F2C0E" w:rsidP="009F2C0E">
            <w:pPr>
              <w:rPr>
                <w:rFonts w:ascii="Leelawadee UI" w:hAnsi="Leelawadee UI" w:cs="Leelawadee UI"/>
              </w:rPr>
            </w:pPr>
          </w:p>
        </w:tc>
      </w:tr>
    </w:tbl>
    <w:p w:rsidR="00FD7F7E" w:rsidRDefault="00FD7F7E" w:rsidP="00FD7F7E"/>
    <w:p w:rsidR="00496B64" w:rsidRDefault="00496B64" w:rsidP="00496B64">
      <w:pPr>
        <w:pStyle w:val="Heading3"/>
      </w:pPr>
      <w:r>
        <w:t>Overview</w:t>
      </w:r>
    </w:p>
    <w:p w:rsidR="00496B64" w:rsidRDefault="00496B64" w:rsidP="00496B64">
      <w:r>
        <w:t>In this document you will find:</w:t>
      </w:r>
    </w:p>
    <w:p w:rsidR="00496B64" w:rsidRDefault="00512186" w:rsidP="00496B64">
      <w:pPr>
        <w:pStyle w:val="ListParagraph"/>
        <w:numPr>
          <w:ilvl w:val="0"/>
          <w:numId w:val="37"/>
        </w:numPr>
      </w:pPr>
      <w:hyperlink w:anchor="_Test_Data_and" w:history="1">
        <w:r w:rsidR="00496B64">
          <w:rPr>
            <w:rStyle w:val="Hyperlink"/>
          </w:rPr>
          <w:t>Test Data and Test Tools</w:t>
        </w:r>
      </w:hyperlink>
    </w:p>
    <w:p w:rsidR="00496B64" w:rsidRDefault="00512186" w:rsidP="00496B64">
      <w:pPr>
        <w:pStyle w:val="ListParagraph"/>
        <w:numPr>
          <w:ilvl w:val="0"/>
          <w:numId w:val="37"/>
        </w:numPr>
      </w:pPr>
      <w:hyperlink w:anchor="_Demonstrate_Standards_Support" w:history="1">
        <w:r w:rsidR="00496B64">
          <w:rPr>
            <w:rStyle w:val="Hyperlink"/>
          </w:rPr>
          <w:t>Standards Support</w:t>
        </w:r>
      </w:hyperlink>
    </w:p>
    <w:p w:rsidR="00496B64" w:rsidRPr="00241B8B" w:rsidRDefault="00512186" w:rsidP="00496B64">
      <w:pPr>
        <w:pStyle w:val="ListParagraph"/>
        <w:numPr>
          <w:ilvl w:val="0"/>
          <w:numId w:val="37"/>
        </w:numPr>
        <w:rPr>
          <w:rStyle w:val="Hyperlink"/>
          <w:color w:val="auto"/>
          <w:u w:val="none"/>
        </w:rPr>
      </w:pPr>
      <w:hyperlink w:anchor="_170.315(d)(11)_Accounting_of" w:history="1">
        <w:r w:rsidR="00496B64">
          <w:rPr>
            <w:rStyle w:val="Hyperlink"/>
          </w:rPr>
          <w:t>Drummond Test Report (Instructions, Expected Results, Points to Remember)</w:t>
        </w:r>
      </w:hyperlink>
    </w:p>
    <w:p w:rsidR="00496B64" w:rsidRPr="00241B8B" w:rsidRDefault="00512186" w:rsidP="00496B64">
      <w:pPr>
        <w:pStyle w:val="ListParagraph"/>
        <w:numPr>
          <w:ilvl w:val="0"/>
          <w:numId w:val="37"/>
        </w:numPr>
        <w:rPr>
          <w:rStyle w:val="Hyperlink"/>
          <w:color w:val="auto"/>
          <w:u w:val="none"/>
        </w:rPr>
      </w:pPr>
      <w:hyperlink w:anchor="_Test_Procedures" w:history="1">
        <w:r w:rsidR="00496B64" w:rsidRPr="00241B8B">
          <w:rPr>
            <w:rStyle w:val="Hyperlink"/>
          </w:rPr>
          <w:t>Test Procedures</w:t>
        </w:r>
      </w:hyperlink>
    </w:p>
    <w:p w:rsidR="00496B64" w:rsidRDefault="00512186" w:rsidP="00496B64">
      <w:pPr>
        <w:pStyle w:val="ListParagraph"/>
        <w:numPr>
          <w:ilvl w:val="0"/>
          <w:numId w:val="37"/>
        </w:numPr>
      </w:pPr>
      <w:hyperlink w:anchor="_Appendix_A:_Testing" w:history="1">
        <w:r w:rsidR="00496B64" w:rsidRPr="00241B8B">
          <w:rPr>
            <w:rStyle w:val="Hyperlink"/>
          </w:rPr>
          <w:t>Appendix A: Testing Guide</w:t>
        </w:r>
      </w:hyperlink>
    </w:p>
    <w:p w:rsidR="00496B64" w:rsidRDefault="00512186" w:rsidP="00496B64">
      <w:pPr>
        <w:pStyle w:val="ListParagraph"/>
        <w:numPr>
          <w:ilvl w:val="0"/>
          <w:numId w:val="37"/>
        </w:numPr>
      </w:pPr>
      <w:hyperlink w:anchor="_Appendix_B:_ONC" w:history="1">
        <w:r w:rsidR="00496B64">
          <w:rPr>
            <w:rStyle w:val="Hyperlink"/>
          </w:rPr>
          <w:t>Appendix B: ONC Criteria</w:t>
        </w:r>
      </w:hyperlink>
    </w:p>
    <w:p w:rsidR="00496B64" w:rsidRDefault="00496B64" w:rsidP="00FD7F7E"/>
    <w:p w:rsidR="009D5A77" w:rsidRDefault="009D5A77" w:rsidP="009D5A77">
      <w:pPr>
        <w:pStyle w:val="Heading3"/>
      </w:pPr>
      <w:bookmarkStart w:id="1" w:name="_Toc432066403"/>
      <w:r w:rsidRPr="00EA50E7">
        <w:t>Version of ONC Test Method</w:t>
      </w:r>
      <w:bookmarkEnd w:id="1"/>
    </w:p>
    <w:p w:rsidR="009D5A77" w:rsidRDefault="00D251FD" w:rsidP="009D5A77">
      <w:pPr>
        <w:ind w:left="720"/>
      </w:pPr>
      <w:r>
        <w:t>1.0</w:t>
      </w:r>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F81A8F">
        <w:t>Health IT developer</w:t>
      </w:r>
      <w:r w:rsidR="007902A0">
        <w:t xml:space="preserve"> or Participant </w:t>
      </w:r>
      <w:r w:rsidR="00F81A8F">
        <w:t>u</w:t>
      </w:r>
      <w:r w:rsidR="005D5757">
        <w:t>nder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81A8F" w:rsidRDefault="00F81A8F">
      <w:pPr>
        <w:rPr>
          <w:rFonts w:ascii="Arial" w:hAnsi="Arial" w:cs="Arial"/>
          <w:b/>
          <w:bCs/>
          <w:kern w:val="32"/>
          <w:sz w:val="32"/>
          <w:szCs w:val="32"/>
        </w:rPr>
      </w:pPr>
      <w:bookmarkStart w:id="3" w:name="OLE_LINK1"/>
      <w:bookmarkEnd w:id="2"/>
      <w:r>
        <w:br w:type="page"/>
      </w:r>
    </w:p>
    <w:p w:rsidR="009D5A77" w:rsidRDefault="009D5A77" w:rsidP="00257318">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F81A8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0C1FDB">
                  <w:rPr>
                    <w:rFonts w:ascii="MS Gothic" w:eastAsia="MS Gothic" w:hAnsi="MS Gothic" w:cs="Leelawadee UI" w:hint="eastAsia"/>
                  </w:rPr>
                  <w:t>☐</w:t>
                </w:r>
              </w:sdtContent>
            </w:sdt>
            <w:r w:rsidR="00AC3FA3">
              <w:rPr>
                <w:rFonts w:ascii="Leelawadee UI" w:hAnsi="Leelawadee UI" w:cs="Leelawadee UI"/>
              </w:rPr>
              <w:t xml:space="preserve">        </w:t>
            </w:r>
            <w:r w:rsidR="00F81A8F">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031C7D">
                  <w:rPr>
                    <w:rFonts w:ascii="MS Gothic" w:eastAsia="MS Gothic" w:hAnsi="MS Gothic" w:cs="Leelawadee UI"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9D5A77" w:rsidRPr="00101400" w:rsidRDefault="009D5A77" w:rsidP="00F81A8F">
            <w:pPr>
              <w:pStyle w:val="ListParagraph"/>
            </w:pPr>
            <w:r w:rsidRPr="00F81A8F">
              <w:rPr>
                <w:rFonts w:ascii="Leelawadee UI" w:hAnsi="Leelawadee UI" w:cs="Leelawadee UI"/>
              </w:rPr>
              <w:t>Not applicable</w:t>
            </w:r>
            <w:r w:rsidR="00F81A8F">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101400" w:rsidRDefault="00F81A8F" w:rsidP="00F81A8F">
            <w:pPr>
              <w:pStyle w:val="ListParagraph"/>
              <w:rPr>
                <w:b/>
              </w:rPr>
            </w:pPr>
            <w:r w:rsidRPr="00F81A8F">
              <w:rPr>
                <w:rFonts w:ascii="Leelawadee UI" w:hAnsi="Leelawadee UI" w:cs="Leelawadee UI"/>
              </w:rPr>
              <w:t>Developer supplies</w:t>
            </w:r>
            <w:r w:rsidR="000C1FDB" w:rsidRPr="00F81A8F">
              <w:rPr>
                <w:rFonts w:ascii="Leelawadee UI" w:hAnsi="Leelawadee UI" w:cs="Leelawadee UI"/>
              </w:rPr>
              <w:t xml:space="preserve"> user and patient test data as needed to demonstrate </w:t>
            </w:r>
            <w:r w:rsidR="00A2484F" w:rsidRPr="00F81A8F">
              <w:rPr>
                <w:rFonts w:ascii="Leelawadee UI" w:hAnsi="Leelawadee UI" w:cs="Leelawadee UI"/>
              </w:rPr>
              <w:t>Accounting of Disclosures</w:t>
            </w:r>
            <w:r w:rsidR="000C1FDB" w:rsidRPr="00F81A8F">
              <w:rPr>
                <w:rFonts w:ascii="Leelawadee UI" w:hAnsi="Leelawadee UI" w:cs="Leelawadee UI"/>
              </w:rPr>
              <w:t xml:space="preserve"> functionality.</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101400" w:rsidRDefault="009D5A77" w:rsidP="00F81A8F">
            <w:pPr>
              <w:pStyle w:val="ListParagraph"/>
            </w:pPr>
            <w:r w:rsidRPr="00F81A8F">
              <w:rPr>
                <w:rFonts w:ascii="Leelawadee UI" w:hAnsi="Leelawadee UI" w:cs="Leelawadee UI"/>
              </w:rPr>
              <w:t>Not applicable</w:t>
            </w:r>
            <w:r w:rsidR="00F81A8F">
              <w:rPr>
                <w:rFonts w:ascii="Leelawadee UI" w:hAnsi="Leelawadee UI" w:cs="Leelawadee UI"/>
              </w:rPr>
              <w:t>.</w:t>
            </w:r>
          </w:p>
        </w:tc>
      </w:tr>
    </w:tbl>
    <w:p w:rsidR="009D5A77" w:rsidRDefault="009D5A77" w:rsidP="009D5A77"/>
    <w:p w:rsidR="00F81A8F" w:rsidRDefault="00F81A8F">
      <w:pPr>
        <w:rPr>
          <w:rFonts w:ascii="Arial" w:hAnsi="Arial" w:cs="Arial"/>
          <w:b/>
          <w:bCs/>
          <w:kern w:val="32"/>
          <w:sz w:val="32"/>
          <w:szCs w:val="32"/>
        </w:rPr>
      </w:pPr>
      <w:r>
        <w:br w:type="page"/>
      </w:r>
    </w:p>
    <w:p w:rsidR="009B4D4A" w:rsidRDefault="009B4D4A" w:rsidP="009B4D4A">
      <w:pPr>
        <w:pStyle w:val="Heading1"/>
      </w:pPr>
      <w:bookmarkStart w:id="5" w:name="_Demonstrate_Standards_Support"/>
      <w:bookmarkEnd w:id="5"/>
      <w:r>
        <w:lastRenderedPageBreak/>
        <w:t>Demonstrate Standards Support</w:t>
      </w:r>
    </w:p>
    <w:p w:rsidR="009B4D4A" w:rsidRDefault="009B4D4A" w:rsidP="009B4D4A">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9B4D4A" w:rsidTr="008863E3">
        <w:trPr>
          <w:trHeight w:val="432"/>
        </w:trPr>
        <w:tc>
          <w:tcPr>
            <w:tcW w:w="3870" w:type="dxa"/>
            <w:shd w:val="clear" w:color="auto" w:fill="DBE5F1" w:themeFill="accent1" w:themeFillTint="33"/>
          </w:tcPr>
          <w:p w:rsidR="009B4D4A" w:rsidRPr="00255DC9" w:rsidRDefault="009B4D4A"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9B4D4A" w:rsidRPr="00255DC9" w:rsidRDefault="009B4D4A"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9B4D4A" w:rsidTr="008863E3">
        <w:trPr>
          <w:trHeight w:val="432"/>
        </w:trPr>
        <w:tc>
          <w:tcPr>
            <w:tcW w:w="8730" w:type="dxa"/>
            <w:gridSpan w:val="2"/>
            <w:shd w:val="clear" w:color="auto" w:fill="DBE5F1" w:themeFill="accent1" w:themeFillTint="33"/>
          </w:tcPr>
          <w:p w:rsidR="009B4D4A" w:rsidRPr="00EE7D84" w:rsidRDefault="009B4D4A" w:rsidP="00F81A8F">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F81A8F">
              <w:rPr>
                <w:rFonts w:ascii="Leelawadee UI" w:hAnsi="Leelawadee UI" w:cs="Leelawadee UI"/>
              </w:rPr>
              <w:t xml:space="preserve">Health IT </w:t>
            </w:r>
            <w:r w:rsidR="007F6B57" w:rsidRPr="00F81A8F">
              <w:rPr>
                <w:rFonts w:ascii="Leelawadee UI" w:hAnsi="Leelawadee UI" w:cs="Leelawadee UI"/>
              </w:rPr>
              <w:t xml:space="preserve">module </w:t>
            </w:r>
            <w:r w:rsidRPr="00F81A8F">
              <w:rPr>
                <w:rFonts w:ascii="Leelawadee UI" w:hAnsi="Leelawadee UI" w:cs="Leelawadee UI"/>
              </w:rPr>
              <w:t xml:space="preserve">supports the required standards.  </w:t>
            </w:r>
          </w:p>
        </w:tc>
      </w:tr>
    </w:tbl>
    <w:p w:rsidR="009B4D4A" w:rsidRDefault="009B4D4A" w:rsidP="009B4D4A">
      <w:pPr>
        <w:spacing w:line="360" w:lineRule="auto"/>
        <w:rPr>
          <w:color w:val="D9D9D9" w:themeColor="background1" w:themeShade="D9"/>
        </w:rPr>
      </w:pPr>
    </w:p>
    <w:tbl>
      <w:tblPr>
        <w:tblStyle w:val="TableGrid"/>
        <w:tblW w:w="8730" w:type="dxa"/>
        <w:tblInd w:w="-95" w:type="dxa"/>
        <w:tblLook w:val="04A0" w:firstRow="1" w:lastRow="0" w:firstColumn="1" w:lastColumn="0" w:noHBand="0" w:noVBand="1"/>
      </w:tblPr>
      <w:tblGrid>
        <w:gridCol w:w="552"/>
        <w:gridCol w:w="2508"/>
        <w:gridCol w:w="5670"/>
      </w:tblGrid>
      <w:tr w:rsidR="00F81A8F" w:rsidTr="00F81A8F">
        <w:trPr>
          <w:trHeight w:val="432"/>
        </w:trPr>
        <w:tc>
          <w:tcPr>
            <w:tcW w:w="552" w:type="dxa"/>
            <w:shd w:val="clear" w:color="auto" w:fill="DBE5F1" w:themeFill="accent1" w:themeFillTint="33"/>
          </w:tcPr>
          <w:p w:rsidR="00F81A8F" w:rsidRPr="004748BF" w:rsidRDefault="00F81A8F" w:rsidP="008863E3"/>
        </w:tc>
        <w:tc>
          <w:tcPr>
            <w:tcW w:w="2508" w:type="dxa"/>
            <w:shd w:val="clear" w:color="auto" w:fill="DBE5F1" w:themeFill="accent1" w:themeFillTint="33"/>
          </w:tcPr>
          <w:p w:rsidR="00F81A8F" w:rsidRPr="005F4354" w:rsidRDefault="00F81A8F" w:rsidP="008863E3">
            <w:pPr>
              <w:rPr>
                <w:rFonts w:ascii="Leelawadee UI" w:hAnsi="Leelawadee UI" w:cs="Leelawadee UI"/>
                <w:b/>
              </w:rPr>
            </w:pPr>
            <w:r w:rsidRPr="005F4354">
              <w:rPr>
                <w:rFonts w:ascii="Leelawadee UI" w:hAnsi="Leelawadee UI" w:cs="Leelawadee UI"/>
                <w:b/>
              </w:rPr>
              <w:t>Standard</w:t>
            </w:r>
          </w:p>
        </w:tc>
        <w:tc>
          <w:tcPr>
            <w:tcW w:w="5670" w:type="dxa"/>
            <w:shd w:val="clear" w:color="auto" w:fill="DBE5F1" w:themeFill="accent1" w:themeFillTint="33"/>
          </w:tcPr>
          <w:p w:rsidR="00F81A8F" w:rsidRPr="005F4354" w:rsidRDefault="00F81A8F" w:rsidP="008863E3">
            <w:pPr>
              <w:rPr>
                <w:rFonts w:ascii="Leelawadee UI" w:hAnsi="Leelawadee UI" w:cs="Leelawadee UI"/>
                <w:b/>
              </w:rPr>
            </w:pPr>
          </w:p>
        </w:tc>
      </w:tr>
      <w:tr w:rsidR="00F81A8F" w:rsidTr="00F81A8F">
        <w:trPr>
          <w:trHeight w:val="432"/>
        </w:trPr>
        <w:sdt>
          <w:sdtPr>
            <w:id w:val="399182296"/>
            <w14:checkbox>
              <w14:checked w14:val="0"/>
              <w14:checkedState w14:val="2612" w14:font="Arial Unicode MS"/>
              <w14:uncheckedState w14:val="2610" w14:font="Arial Unicode MS"/>
            </w14:checkbox>
          </w:sdtPr>
          <w:sdtEndPr/>
          <w:sdtContent>
            <w:tc>
              <w:tcPr>
                <w:tcW w:w="552" w:type="dxa"/>
              </w:tcPr>
              <w:p w:rsidR="00F81A8F" w:rsidRDefault="00F81A8F" w:rsidP="008863E3">
                <w:r>
                  <w:rPr>
                    <w:rFonts w:ascii="MS Gothic" w:eastAsia="MS Gothic" w:hAnsi="MS Gothic" w:hint="eastAsia"/>
                  </w:rPr>
                  <w:t>☐</w:t>
                </w:r>
              </w:p>
            </w:tc>
          </w:sdtContent>
        </w:sdt>
        <w:tc>
          <w:tcPr>
            <w:tcW w:w="2508" w:type="dxa"/>
          </w:tcPr>
          <w:p w:rsidR="00F81A8F" w:rsidRPr="009B4D4A" w:rsidRDefault="00F81A8F" w:rsidP="00F81A8F">
            <w:r w:rsidRPr="009B4D4A">
              <w:t xml:space="preserve">§170.210(d) </w:t>
            </w:r>
          </w:p>
        </w:tc>
        <w:tc>
          <w:tcPr>
            <w:tcW w:w="5670" w:type="dxa"/>
          </w:tcPr>
          <w:p w:rsidR="005374DD" w:rsidRPr="009B4D4A" w:rsidRDefault="00F81A8F" w:rsidP="005374DD">
            <w:r w:rsidRPr="009B4D4A">
              <w:t>Record treatment, payment, and health care operations disclosures.</w:t>
            </w:r>
            <w:r w:rsidR="005374DD">
              <w:t xml:space="preserve">  </w:t>
            </w:r>
            <w:r w:rsidR="005A5F6F">
              <w:t>Further specified in</w:t>
            </w:r>
            <w:r w:rsidR="005374DD">
              <w:t xml:space="preserve"> </w:t>
            </w:r>
            <w:hyperlink r:id="rId8" w:anchor="se45.1.164_1501" w:history="1">
              <w:r w:rsidR="005374DD">
                <w:rPr>
                  <w:rStyle w:val="Hyperlink"/>
                </w:rPr>
                <w:t>164.501 Definitions</w:t>
              </w:r>
            </w:hyperlink>
            <w:r w:rsidR="005374DD">
              <w:t>.</w:t>
            </w:r>
          </w:p>
        </w:tc>
      </w:tr>
    </w:tbl>
    <w:p w:rsidR="009B4D4A" w:rsidRDefault="009B4D4A" w:rsidP="009B4D4A">
      <w:pPr>
        <w:spacing w:line="360" w:lineRule="auto"/>
        <w:rPr>
          <w:color w:val="D9D9D9" w:themeColor="background1" w:themeShade="D9"/>
        </w:rPr>
      </w:pPr>
    </w:p>
    <w:p w:rsidR="009B4D4A" w:rsidRDefault="009B4D4A" w:rsidP="009B4D4A">
      <w:pPr>
        <w:spacing w:line="360" w:lineRule="auto"/>
        <w:rPr>
          <w:color w:val="D9D9D9" w:themeColor="background1" w:themeShade="D9"/>
        </w:rPr>
      </w:pPr>
    </w:p>
    <w:p w:rsidR="00124587" w:rsidRDefault="00124587"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736732" w:rsidRDefault="00736732">
      <w:pPr>
        <w:rPr>
          <w:rFonts w:ascii="Arial" w:hAnsi="Arial" w:cs="Arial"/>
          <w:b/>
          <w:bCs/>
          <w:kern w:val="32"/>
          <w:sz w:val="32"/>
          <w:szCs w:val="32"/>
        </w:rPr>
      </w:pPr>
      <w:r>
        <w:br w:type="page"/>
      </w:r>
    </w:p>
    <w:p w:rsidR="004B79E8" w:rsidRDefault="009A1745" w:rsidP="004B79E8">
      <w:pPr>
        <w:pStyle w:val="Heading1"/>
      </w:pPr>
      <w:bookmarkStart w:id="6" w:name="_170.315(d)(11)_Accounting_of"/>
      <w:bookmarkEnd w:id="6"/>
      <w:r>
        <w:lastRenderedPageBreak/>
        <w:t xml:space="preserve"> </w:t>
      </w:r>
      <w:r w:rsidR="005A5F6F">
        <w:t>170.315</w:t>
      </w:r>
      <w:r>
        <w:t>(d</w:t>
      </w:r>
      <w:proofErr w:type="gramStart"/>
      <w:r>
        <w:t>)(</w:t>
      </w:r>
      <w:proofErr w:type="gramEnd"/>
      <w:r>
        <w:t>11)</w:t>
      </w:r>
      <w:r w:rsidR="00BB0758">
        <w:t xml:space="preserve"> </w:t>
      </w:r>
      <w:r w:rsidR="00A2484F">
        <w:t>Accounting of Disclosures</w:t>
      </w:r>
      <w:r w:rsidR="004B79E8">
        <w:t xml:space="preserve"> </w:t>
      </w:r>
    </w:p>
    <w:p w:rsidR="004B79E8" w:rsidRPr="00255DC9" w:rsidRDefault="004B79E8" w:rsidP="004B79E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4B79E8" w:rsidTr="008863E3">
        <w:trPr>
          <w:trHeight w:val="432"/>
        </w:trPr>
        <w:tc>
          <w:tcPr>
            <w:tcW w:w="3870" w:type="dxa"/>
            <w:shd w:val="clear" w:color="auto" w:fill="DBE5F1" w:themeFill="accent1" w:themeFillTint="33"/>
          </w:tcPr>
          <w:p w:rsidR="004B79E8" w:rsidRPr="00255DC9" w:rsidRDefault="004B79E8" w:rsidP="008863E3">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4B79E8" w:rsidRPr="00255DC9" w:rsidRDefault="004B79E8" w:rsidP="008863E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213956027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11168009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No Attempt: </w:t>
            </w:r>
            <w:sdt>
              <w:sdtPr>
                <w:rPr>
                  <w:rFonts w:ascii="Leelawadee UI" w:hAnsi="Leelawadee UI" w:cs="Leelawadee UI"/>
                </w:rPr>
                <w:id w:val="2045642026"/>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4B79E8" w:rsidTr="008863E3">
        <w:trPr>
          <w:trHeight w:val="432"/>
        </w:trPr>
        <w:tc>
          <w:tcPr>
            <w:tcW w:w="8730" w:type="dxa"/>
            <w:gridSpan w:val="2"/>
            <w:shd w:val="clear" w:color="auto" w:fill="DBE5F1" w:themeFill="accent1" w:themeFillTint="33"/>
          </w:tcPr>
          <w:p w:rsidR="004B79E8" w:rsidRDefault="004B79E8" w:rsidP="008863E3">
            <w:r w:rsidRPr="00255DC9">
              <w:rPr>
                <w:rFonts w:ascii="Leelawadee UI" w:hAnsi="Leelawadee UI" w:cs="Leelawadee UI"/>
                <w:b/>
              </w:rPr>
              <w:t>Instructions:</w:t>
            </w:r>
            <w:r w:rsidRPr="00255DC9">
              <w:rPr>
                <w:rFonts w:ascii="Leelawadee UI" w:hAnsi="Leelawadee UI" w:cs="Leelawadee UI"/>
              </w:rPr>
              <w:t xml:space="preserve"> </w:t>
            </w:r>
          </w:p>
          <w:p w:rsidR="005456C3" w:rsidRDefault="00F81A8F" w:rsidP="00992490">
            <w:pPr>
              <w:pStyle w:val="ListParagraph"/>
              <w:numPr>
                <w:ilvl w:val="0"/>
                <w:numId w:val="29"/>
              </w:numPr>
            </w:pPr>
            <w:r>
              <w:t>Health IT developer</w:t>
            </w:r>
            <w:r w:rsidR="005456C3">
              <w:t xml:space="preserve"> uses health IT</w:t>
            </w:r>
            <w:r w:rsidR="00633D96">
              <w:t xml:space="preserve"> module functionality to record disclosures: </w:t>
            </w:r>
          </w:p>
          <w:p w:rsidR="005456C3" w:rsidRDefault="00633D96" w:rsidP="005456C3">
            <w:pPr>
              <w:pStyle w:val="ListParagraph"/>
              <w:ind w:firstLine="252"/>
            </w:pPr>
            <w:r>
              <w:t xml:space="preserve">1) </w:t>
            </w:r>
            <w:r w:rsidR="005456C3">
              <w:t>Treatment;</w:t>
            </w:r>
          </w:p>
          <w:p w:rsidR="005456C3" w:rsidRDefault="005456C3" w:rsidP="005456C3">
            <w:pPr>
              <w:pStyle w:val="ListParagraph"/>
              <w:ind w:firstLine="252"/>
            </w:pPr>
            <w:r>
              <w:t xml:space="preserve">2) Payment; </w:t>
            </w:r>
            <w:r w:rsidR="00992490">
              <w:t xml:space="preserve">and </w:t>
            </w:r>
          </w:p>
          <w:p w:rsidR="004B79E8" w:rsidRPr="008C3B5F" w:rsidRDefault="00992490" w:rsidP="005456C3">
            <w:pPr>
              <w:pStyle w:val="ListParagraph"/>
              <w:ind w:firstLine="252"/>
            </w:pPr>
            <w:r>
              <w:t>3) Health Care Operations</w:t>
            </w:r>
            <w:r w:rsidR="00633D96">
              <w:t>.</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sidRPr="00255DC9">
              <w:rPr>
                <w:rFonts w:ascii="Leelawadee UI" w:hAnsi="Leelawadee UI" w:cs="Leelawadee UI"/>
                <w:b/>
              </w:rPr>
              <w:t xml:space="preserve">Expected Test Result: </w:t>
            </w:r>
          </w:p>
          <w:p w:rsidR="001A6B8E" w:rsidRPr="001A6B8E" w:rsidRDefault="001A6B8E" w:rsidP="001A6B8E">
            <w:pPr>
              <w:numPr>
                <w:ilvl w:val="0"/>
                <w:numId w:val="27"/>
              </w:numPr>
            </w:pPr>
            <w:r w:rsidRPr="001A6B8E">
              <w:t>Record disclosures made for treatment, payment, and health care operations in accordance with the standard specified in §170.210(d).</w:t>
            </w:r>
          </w:p>
          <w:p w:rsidR="004B79E8" w:rsidRPr="008B3D7C" w:rsidRDefault="00992490" w:rsidP="001A6B8E">
            <w:pPr>
              <w:numPr>
                <w:ilvl w:val="0"/>
                <w:numId w:val="27"/>
              </w:numPr>
              <w:rPr>
                <w:rFonts w:ascii="Leelawadee" w:hAnsi="Leelawadee" w:cs="Leelawadee"/>
                <w:b/>
              </w:rPr>
            </w:pPr>
            <w:r>
              <w:t>All required disclosure types recorded with the required elements: Date, Time, Patient ID, User ID and Description of  Disclosure</w:t>
            </w:r>
          </w:p>
        </w:tc>
      </w:tr>
      <w:tr w:rsidR="004B79E8" w:rsidTr="008863E3">
        <w:trPr>
          <w:trHeight w:val="432"/>
        </w:trPr>
        <w:tc>
          <w:tcPr>
            <w:tcW w:w="8730" w:type="dxa"/>
            <w:gridSpan w:val="2"/>
            <w:shd w:val="clear" w:color="auto" w:fill="DBE5F1" w:themeFill="accent1" w:themeFillTint="33"/>
          </w:tcPr>
          <w:p w:rsidR="004B79E8" w:rsidRDefault="004B79E8" w:rsidP="008863E3">
            <w:pPr>
              <w:rPr>
                <w:rFonts w:ascii="Leelawadee UI" w:hAnsi="Leelawadee UI" w:cs="Leelawadee UI"/>
                <w:b/>
              </w:rPr>
            </w:pPr>
            <w:r>
              <w:rPr>
                <w:rFonts w:ascii="Leelawadee UI" w:hAnsi="Leelawadee UI" w:cs="Leelawadee UI"/>
                <w:b/>
              </w:rPr>
              <w:t>Points to Remember:</w:t>
            </w:r>
          </w:p>
          <w:p w:rsidR="00C50B24" w:rsidRDefault="00C50B24" w:rsidP="00EA076D">
            <w:pPr>
              <w:numPr>
                <w:ilvl w:val="0"/>
                <w:numId w:val="30"/>
              </w:numPr>
            </w:pPr>
            <w:r>
              <w:t>This module is eligible for gap certification.</w:t>
            </w:r>
          </w:p>
          <w:p w:rsidR="004B79E8" w:rsidRPr="00EA076D" w:rsidRDefault="00992490" w:rsidP="00EA076D">
            <w:pPr>
              <w:numPr>
                <w:ilvl w:val="0"/>
                <w:numId w:val="30"/>
              </w:numPr>
            </w:pPr>
            <w:r>
              <w:t>Record of disclosures may be automatically recorded or manually entered.</w:t>
            </w:r>
          </w:p>
        </w:tc>
      </w:tr>
    </w:tbl>
    <w:p w:rsidR="004B79E8" w:rsidRDefault="004B79E8" w:rsidP="004B79E8"/>
    <w:p w:rsidR="005A5F6F" w:rsidRDefault="005A5F6F">
      <w:pPr>
        <w:rPr>
          <w:rFonts w:ascii="Arial" w:hAnsi="Arial" w:cs="Arial"/>
          <w:b/>
          <w:bCs/>
          <w:sz w:val="26"/>
          <w:szCs w:val="26"/>
        </w:rPr>
      </w:pPr>
      <w:r>
        <w:br w:type="page"/>
      </w:r>
    </w:p>
    <w:p w:rsidR="00BB0758" w:rsidRPr="005A5F6F" w:rsidRDefault="00BB0758" w:rsidP="00BB0758">
      <w:pPr>
        <w:pStyle w:val="Heading3"/>
        <w:rPr>
          <w:u w:val="single"/>
        </w:rPr>
      </w:pPr>
      <w:bookmarkStart w:id="7" w:name="_Test_Procedures"/>
      <w:bookmarkEnd w:id="7"/>
      <w:r w:rsidRPr="005A5F6F">
        <w:rPr>
          <w:u w:val="single"/>
        </w:rPr>
        <w:lastRenderedPageBreak/>
        <w:t>Test Procedures</w:t>
      </w:r>
    </w:p>
    <w:p w:rsidR="004B79E8" w:rsidRPr="005A5F6F" w:rsidRDefault="004B79E8" w:rsidP="004B79E8">
      <w:pPr>
        <w:pStyle w:val="Heading3"/>
        <w:rPr>
          <w:rFonts w:ascii="Times New Roman" w:hAnsi="Times New Roman" w:cs="Times New Roman"/>
          <w:sz w:val="24"/>
          <w:szCs w:val="24"/>
        </w:rPr>
      </w:pPr>
      <w:r w:rsidRPr="005A5F6F">
        <w:rPr>
          <w:rFonts w:ascii="Times New Roman" w:hAnsi="Times New Roman" w:cs="Times New Roman"/>
          <w:sz w:val="24"/>
          <w:szCs w:val="24"/>
        </w:rPr>
        <w:t>1.1</w:t>
      </w:r>
      <w:r w:rsidRPr="005A5F6F">
        <w:rPr>
          <w:rFonts w:ascii="Times New Roman" w:hAnsi="Times New Roman" w:cs="Times New Roman"/>
          <w:i/>
          <w:sz w:val="24"/>
          <w:szCs w:val="24"/>
        </w:rPr>
        <w:t xml:space="preserve"> </w:t>
      </w:r>
      <w:r w:rsidR="009C3C3D">
        <w:rPr>
          <w:rFonts w:ascii="Times New Roman" w:hAnsi="Times New Roman" w:cs="Times New Roman"/>
          <w:sz w:val="24"/>
          <w:szCs w:val="24"/>
        </w:rPr>
        <w:t>Accounting of Disclosures</w:t>
      </w:r>
    </w:p>
    <w:tbl>
      <w:tblPr>
        <w:tblStyle w:val="TableGrid"/>
        <w:tblW w:w="0" w:type="auto"/>
        <w:tblLook w:val="04A0" w:firstRow="1" w:lastRow="0" w:firstColumn="1" w:lastColumn="0" w:noHBand="0" w:noVBand="1"/>
      </w:tblPr>
      <w:tblGrid>
        <w:gridCol w:w="828"/>
        <w:gridCol w:w="7668"/>
      </w:tblGrid>
      <w:tr w:rsidR="004B79E8" w:rsidTr="00633D96">
        <w:trPr>
          <w:trHeight w:val="557"/>
        </w:trPr>
        <w:sdt>
          <w:sdtPr>
            <w:id w:val="1741443384"/>
            <w14:checkbox>
              <w14:checked w14:val="0"/>
              <w14:checkedState w14:val="2612" w14:font="Arial Unicode MS"/>
              <w14:uncheckedState w14:val="2610" w14:font="Arial Unicode MS"/>
            </w14:checkbox>
          </w:sdtPr>
          <w:sdtEndPr/>
          <w:sdtContent>
            <w:tc>
              <w:tcPr>
                <w:tcW w:w="828" w:type="dxa"/>
                <w:vAlign w:val="center"/>
              </w:tcPr>
              <w:p w:rsidR="004B79E8" w:rsidRDefault="004B79E8" w:rsidP="008863E3">
                <w:pPr>
                  <w:spacing w:line="360" w:lineRule="auto"/>
                  <w:rPr>
                    <w:u w:val="single"/>
                  </w:rPr>
                </w:pPr>
                <w:r>
                  <w:rPr>
                    <w:rFonts w:ascii="MS Gothic" w:eastAsia="MS Gothic" w:hAnsi="MS Gothic" w:hint="eastAsia"/>
                  </w:rPr>
                  <w:t>☐</w:t>
                </w:r>
              </w:p>
            </w:tc>
          </w:sdtContent>
        </w:sdt>
        <w:tc>
          <w:tcPr>
            <w:tcW w:w="7668" w:type="dxa"/>
            <w:vAlign w:val="center"/>
          </w:tcPr>
          <w:p w:rsidR="00CC4D39" w:rsidRDefault="00CC4D39" w:rsidP="00633D96">
            <w:pPr>
              <w:spacing w:line="360" w:lineRule="auto"/>
            </w:pPr>
            <w:r>
              <w:t xml:space="preserve">Health IT Developer records the </w:t>
            </w:r>
            <w:r w:rsidR="00E00A51">
              <w:t xml:space="preserve">specified </w:t>
            </w:r>
            <w:r>
              <w:t>data elements</w:t>
            </w:r>
            <w:r w:rsidR="00E00A51">
              <w:t xml:space="preserve"> below</w:t>
            </w:r>
            <w:r>
              <w:t xml:space="preserve"> for three disclosure types: </w:t>
            </w:r>
            <w:r w:rsidRPr="00CC4D39">
              <w:rPr>
                <w:b/>
              </w:rPr>
              <w:t>1) Treatment</w:t>
            </w:r>
            <w:r>
              <w:t xml:space="preserve">, </w:t>
            </w:r>
            <w:r w:rsidRPr="00CC4D39">
              <w:rPr>
                <w:b/>
              </w:rPr>
              <w:t>2) Payment</w:t>
            </w:r>
            <w:r>
              <w:t xml:space="preserve">, and </w:t>
            </w:r>
            <w:r w:rsidRPr="00CC4D39">
              <w:rPr>
                <w:b/>
              </w:rPr>
              <w:t xml:space="preserve">3) </w:t>
            </w:r>
            <w:r>
              <w:rPr>
                <w:b/>
              </w:rPr>
              <w:t>Health C</w:t>
            </w:r>
            <w:r w:rsidRPr="00CC4D39">
              <w:rPr>
                <w:b/>
              </w:rPr>
              <w:t>are Operations</w:t>
            </w:r>
            <w:r>
              <w:t>:</w:t>
            </w:r>
          </w:p>
          <w:p w:rsidR="004B79E8" w:rsidRDefault="00633D96" w:rsidP="00CC4D39">
            <w:pPr>
              <w:pStyle w:val="ListParagraph"/>
              <w:numPr>
                <w:ilvl w:val="0"/>
                <w:numId w:val="38"/>
              </w:numPr>
              <w:spacing w:line="360" w:lineRule="auto"/>
            </w:pPr>
            <w:r>
              <w:t>Date</w:t>
            </w:r>
          </w:p>
          <w:p w:rsidR="00CC4D39" w:rsidRDefault="00CC4D39" w:rsidP="00CC4D39">
            <w:pPr>
              <w:pStyle w:val="ListParagraph"/>
              <w:numPr>
                <w:ilvl w:val="0"/>
                <w:numId w:val="38"/>
              </w:numPr>
              <w:spacing w:line="360" w:lineRule="auto"/>
            </w:pPr>
            <w:r>
              <w:t>Time</w:t>
            </w:r>
          </w:p>
          <w:p w:rsidR="00CC4D39" w:rsidRDefault="00CC4D39" w:rsidP="00CC4D39">
            <w:pPr>
              <w:pStyle w:val="ListParagraph"/>
              <w:numPr>
                <w:ilvl w:val="0"/>
                <w:numId w:val="38"/>
              </w:numPr>
              <w:spacing w:line="360" w:lineRule="auto"/>
            </w:pPr>
            <w:r>
              <w:t>Patient ID</w:t>
            </w:r>
          </w:p>
          <w:p w:rsidR="00CC4D39" w:rsidRDefault="00CC4D39" w:rsidP="00CC4D39">
            <w:pPr>
              <w:pStyle w:val="ListParagraph"/>
              <w:numPr>
                <w:ilvl w:val="0"/>
                <w:numId w:val="38"/>
              </w:numPr>
              <w:spacing w:line="360" w:lineRule="auto"/>
            </w:pPr>
            <w:r>
              <w:t>User ID</w:t>
            </w:r>
          </w:p>
          <w:p w:rsidR="00CC4D39" w:rsidRPr="00C15A82" w:rsidRDefault="00CC4D39" w:rsidP="00CC4D39">
            <w:pPr>
              <w:pStyle w:val="ListParagraph"/>
              <w:numPr>
                <w:ilvl w:val="0"/>
                <w:numId w:val="38"/>
              </w:numPr>
              <w:spacing w:line="360" w:lineRule="auto"/>
            </w:pPr>
            <w:r>
              <w:t>Description of Disclosure</w:t>
            </w:r>
          </w:p>
        </w:tc>
      </w:tr>
    </w:tbl>
    <w:p w:rsidR="00992490" w:rsidRDefault="00992490" w:rsidP="00992490">
      <w:pPr>
        <w:spacing w:line="360" w:lineRule="auto"/>
        <w:rPr>
          <w:color w:val="A6A6A6" w:themeColor="background1" w:themeShade="A6"/>
        </w:rPr>
      </w:pPr>
    </w:p>
    <w:p w:rsidR="00992490" w:rsidRPr="00957D2C" w:rsidRDefault="00992490" w:rsidP="00992490">
      <w:pPr>
        <w:spacing w:line="360" w:lineRule="auto"/>
        <w:rPr>
          <w:color w:val="A6A6A6" w:themeColor="background1" w:themeShade="A6"/>
        </w:rPr>
      </w:pPr>
      <w:r w:rsidRPr="00F118BE">
        <w:rPr>
          <w:color w:val="A6A6A6" w:themeColor="background1" w:themeShade="A6"/>
        </w:rPr>
        <w:t>&lt;INSERT SCREEN SHOT</w:t>
      </w:r>
      <w:r w:rsidR="00CC4D39">
        <w:rPr>
          <w:color w:val="A6A6A6" w:themeColor="background1" w:themeShade="A6"/>
        </w:rPr>
        <w:t>S – Treatment Disclosure</w:t>
      </w:r>
      <w:r w:rsidR="00927801" w:rsidRPr="00F118BE">
        <w:rPr>
          <w:color w:val="A6A6A6" w:themeColor="background1" w:themeShade="A6"/>
        </w:rPr>
        <w:t xml:space="preserve"> </w:t>
      </w:r>
      <w:r w:rsidRPr="00F118BE">
        <w:rPr>
          <w:color w:val="A6A6A6" w:themeColor="background1" w:themeShade="A6"/>
        </w:rPr>
        <w:t>&gt;</w:t>
      </w:r>
    </w:p>
    <w:p w:rsidR="00992490" w:rsidRDefault="00992490" w:rsidP="00992490">
      <w:pPr>
        <w:spacing w:line="360" w:lineRule="auto"/>
        <w:rPr>
          <w:color w:val="A6A6A6" w:themeColor="background1" w:themeShade="A6"/>
        </w:rPr>
      </w:pPr>
      <w:r w:rsidRPr="00F118BE">
        <w:rPr>
          <w:color w:val="A6A6A6" w:themeColor="background1" w:themeShade="A6"/>
        </w:rPr>
        <w:t>&lt;INSERT SCREEN SHOT</w:t>
      </w:r>
      <w:r w:rsidR="00CC4D39">
        <w:rPr>
          <w:color w:val="A6A6A6" w:themeColor="background1" w:themeShade="A6"/>
        </w:rPr>
        <w:t>S – Payment Disclosure</w:t>
      </w:r>
      <w:r w:rsidR="00927801" w:rsidRPr="00F118BE">
        <w:rPr>
          <w:color w:val="A6A6A6" w:themeColor="background1" w:themeShade="A6"/>
        </w:rPr>
        <w:t xml:space="preserve"> </w:t>
      </w:r>
      <w:r w:rsidRPr="00F118BE">
        <w:rPr>
          <w:color w:val="A6A6A6" w:themeColor="background1" w:themeShade="A6"/>
        </w:rPr>
        <w:t>&gt;</w:t>
      </w:r>
    </w:p>
    <w:p w:rsidR="00CC4D39" w:rsidRPr="00957D2C" w:rsidRDefault="00CC4D39" w:rsidP="00CC4D39">
      <w:pPr>
        <w:spacing w:line="360" w:lineRule="auto"/>
        <w:rPr>
          <w:color w:val="A6A6A6" w:themeColor="background1" w:themeShade="A6"/>
        </w:rPr>
      </w:pPr>
      <w:r w:rsidRPr="00F118BE">
        <w:rPr>
          <w:color w:val="A6A6A6" w:themeColor="background1" w:themeShade="A6"/>
        </w:rPr>
        <w:t>&lt;INSERT SCREEN SHOT</w:t>
      </w:r>
      <w:r>
        <w:rPr>
          <w:color w:val="A6A6A6" w:themeColor="background1" w:themeShade="A6"/>
        </w:rPr>
        <w:t>S – Healthcare Operations Disclosure</w:t>
      </w:r>
      <w:r w:rsidRPr="00F118BE">
        <w:rPr>
          <w:color w:val="A6A6A6" w:themeColor="background1" w:themeShade="A6"/>
        </w:rPr>
        <w:t>&gt;</w:t>
      </w:r>
    </w:p>
    <w:p w:rsidR="00CC4D39" w:rsidRPr="00957D2C" w:rsidRDefault="00CC4D39" w:rsidP="00992490">
      <w:pPr>
        <w:spacing w:line="360" w:lineRule="auto"/>
        <w:rPr>
          <w:color w:val="A6A6A6" w:themeColor="background1" w:themeShade="A6"/>
        </w:rPr>
      </w:pPr>
    </w:p>
    <w:p w:rsidR="00992490" w:rsidRPr="00957D2C" w:rsidRDefault="00992490" w:rsidP="00992490">
      <w:pPr>
        <w:spacing w:line="360" w:lineRule="auto"/>
        <w:rPr>
          <w:color w:val="A6A6A6" w:themeColor="background1" w:themeShade="A6"/>
        </w:rPr>
      </w:pPr>
    </w:p>
    <w:p w:rsidR="0075155D" w:rsidRDefault="0075155D" w:rsidP="0075155D"/>
    <w:p w:rsidR="0075155D" w:rsidRDefault="0075155D" w:rsidP="00D958A0"/>
    <w:p w:rsidR="00992490" w:rsidRDefault="00992490">
      <w:pPr>
        <w:rPr>
          <w:rFonts w:ascii="Arial" w:hAnsi="Arial" w:cs="Arial"/>
          <w:b/>
          <w:bCs/>
          <w:kern w:val="32"/>
          <w:sz w:val="32"/>
          <w:szCs w:val="32"/>
        </w:rPr>
      </w:pPr>
      <w:bookmarkStart w:id="8" w:name="_Toc432066410"/>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 xml:space="preserve">Rev </w:t>
      </w:r>
      <w:r w:rsidR="005F36F0">
        <w:t>01-</w:t>
      </w:r>
      <w:r w:rsidR="005A5F6F">
        <w:t>Mar</w:t>
      </w:r>
      <w:r w:rsidR="005F36F0">
        <w:t xml:space="preserve">-2016 </w:t>
      </w:r>
      <w:r>
        <w:t>Additions</w:t>
      </w:r>
    </w:p>
    <w:p w:rsidR="00362E3C" w:rsidRDefault="00A2484F" w:rsidP="006B3E9B">
      <w:pPr>
        <w:pStyle w:val="ListParagraph"/>
        <w:numPr>
          <w:ilvl w:val="0"/>
          <w:numId w:val="30"/>
        </w:numPr>
      </w:pPr>
      <w:r>
        <w:t>None.</w:t>
      </w:r>
    </w:p>
    <w:p w:rsidR="00DC0225" w:rsidRDefault="00DC0225" w:rsidP="00362E3C"/>
    <w:p w:rsidR="005A5F6F" w:rsidRDefault="005A5F6F">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5F36F0" w:rsidP="00A3038C">
      <w:pPr>
        <w:autoSpaceDE w:val="0"/>
        <w:autoSpaceDN w:val="0"/>
        <w:adjustRightInd w:val="0"/>
        <w:rPr>
          <w:b/>
          <w:u w:val="single"/>
        </w:rPr>
      </w:pPr>
      <w:r>
        <w:rPr>
          <w:b/>
        </w:rPr>
        <w:t>§170.315</w:t>
      </w:r>
      <w:r w:rsidR="00E6277C">
        <w:rPr>
          <w:b/>
        </w:rPr>
        <w:t>(d</w:t>
      </w:r>
      <w:proofErr w:type="gramStart"/>
      <w:r w:rsidR="00A3038C" w:rsidRPr="007D3617">
        <w:rPr>
          <w:b/>
        </w:rPr>
        <w:t>)(</w:t>
      </w:r>
      <w:proofErr w:type="gramEnd"/>
      <w:r w:rsidR="00FC3236">
        <w:rPr>
          <w:b/>
        </w:rPr>
        <w:t>11</w:t>
      </w:r>
      <w:r w:rsidR="00A3038C" w:rsidRPr="007D3617">
        <w:rPr>
          <w:b/>
        </w:rPr>
        <w:t xml:space="preserve">) </w:t>
      </w:r>
      <w:r w:rsidR="00A2484F">
        <w:rPr>
          <w:b/>
          <w:u w:val="single"/>
        </w:rPr>
        <w:t>Accounting of Disclosures</w:t>
      </w:r>
      <w:r w:rsidR="00A3038C" w:rsidRPr="00247BAB">
        <w:rPr>
          <w:b/>
          <w:u w:val="single"/>
        </w:rPr>
        <w:t>.</w:t>
      </w:r>
      <w:r w:rsidR="00A3038C">
        <w:rPr>
          <w:b/>
          <w:u w:val="single"/>
        </w:rPr>
        <w:t xml:space="preserve"> </w:t>
      </w:r>
    </w:p>
    <w:p w:rsidR="00FC3236" w:rsidRDefault="00FC3236" w:rsidP="00FC3236">
      <w:pPr>
        <w:ind w:left="720"/>
      </w:pPr>
      <w:r w:rsidRPr="00F80FDE">
        <w:t>Record disclosures made for treatment, payment,</w:t>
      </w:r>
      <w:r>
        <w:t xml:space="preserve"> </w:t>
      </w:r>
      <w:r w:rsidRPr="00F80FDE">
        <w:t>and health care operations in accordance with the standards specified in §170.210(d).</w:t>
      </w:r>
    </w:p>
    <w:p w:rsidR="000449FC" w:rsidRDefault="000449FC" w:rsidP="000449FC"/>
    <w:p w:rsidR="00FC3236" w:rsidRDefault="00FC3236" w:rsidP="00FC3236">
      <w:pPr>
        <w:rPr>
          <w:b/>
        </w:rPr>
      </w:pPr>
      <w:r>
        <w:rPr>
          <w:b/>
        </w:rPr>
        <w:t>§170.210(d</w:t>
      </w:r>
      <w:r w:rsidRPr="007D3617">
        <w:rPr>
          <w:b/>
        </w:rPr>
        <w:t xml:space="preserve">) </w:t>
      </w:r>
      <w:r w:rsidRPr="00F80FDE">
        <w:rPr>
          <w:b/>
        </w:rPr>
        <w:t>Record treatment, payment, and health care operations disclosures.</w:t>
      </w:r>
    </w:p>
    <w:p w:rsidR="00FC3236" w:rsidRDefault="00FC3236" w:rsidP="00FC3236">
      <w:pPr>
        <w:ind w:left="720"/>
      </w:pPr>
      <w:r>
        <w:t>The date, time, patient identification, user identification, and a description of the disclosure must be recorded for disclosures for treatment, payment, and health care operations, as these terms are defined at 45 CFR 164.501</w:t>
      </w:r>
    </w:p>
    <w:p w:rsidR="00FC3236" w:rsidRPr="007774B2" w:rsidRDefault="00FC3236" w:rsidP="00FC3236"/>
    <w:p w:rsidR="00FC3236" w:rsidRPr="00AD7D17" w:rsidRDefault="00FC3236" w:rsidP="00AD7D17">
      <w:pPr>
        <w:rPr>
          <w:b/>
        </w:rPr>
      </w:pPr>
      <w:r w:rsidRPr="00AD7D17">
        <w:rPr>
          <w:b/>
        </w:rPr>
        <w:t>45 §164.501 Definitions</w:t>
      </w:r>
    </w:p>
    <w:p w:rsidR="00D251FD" w:rsidRDefault="00D251FD" w:rsidP="00D251FD"/>
    <w:p w:rsidR="00FC3236" w:rsidRDefault="00FC3236" w:rsidP="00D251FD">
      <w:r>
        <w:t>Treatment</w:t>
      </w:r>
    </w:p>
    <w:p w:rsidR="00D251FD" w:rsidRDefault="00D251FD" w:rsidP="00D251FD"/>
    <w:p w:rsidR="00FC3236" w:rsidRDefault="00FC3236" w:rsidP="00D251FD">
      <w:r w:rsidRPr="00C244AB">
        <w:t>Treatment means the provision, coordination, or management of health care and related services by one or more health care providers, including the coordination or management of health care by a health care provider with a third party; consultation between health care providers relating to a patient; or the referral of a patient for health care from one health care provider to another.</w:t>
      </w:r>
    </w:p>
    <w:p w:rsidR="00D251FD" w:rsidRDefault="00D251FD" w:rsidP="00D251FD"/>
    <w:p w:rsidR="00FC3236" w:rsidRDefault="00FC3236" w:rsidP="00D251FD">
      <w:r>
        <w:t>Payment</w:t>
      </w:r>
    </w:p>
    <w:p w:rsidR="00D251FD" w:rsidRDefault="00D251FD" w:rsidP="00D251FD"/>
    <w:p w:rsidR="00FC3236" w:rsidRDefault="00FC3236" w:rsidP="00D251FD">
      <w:r>
        <w:t>Payment means:</w:t>
      </w:r>
    </w:p>
    <w:p w:rsidR="00FC3236" w:rsidRDefault="00FC3236" w:rsidP="00D251FD">
      <w:r>
        <w:t>(1) The activities undertaken by:</w:t>
      </w:r>
    </w:p>
    <w:p w:rsidR="00FC3236" w:rsidRDefault="00FC3236" w:rsidP="00D251FD">
      <w:r>
        <w:t>(</w:t>
      </w:r>
      <w:proofErr w:type="spellStart"/>
      <w:r>
        <w:t>i</w:t>
      </w:r>
      <w:proofErr w:type="spellEnd"/>
      <w:r>
        <w:t>) A health plan to obtain premiums or to determine or fulfill its responsibility for coverage and provision of benefits under the health plan; or</w:t>
      </w:r>
    </w:p>
    <w:p w:rsidR="00FC3236" w:rsidRDefault="00FC3236" w:rsidP="00D251FD">
      <w:r>
        <w:t>(ii) A health care provider or health plan to obtain or provide reimbursement for the provision of health care; and</w:t>
      </w:r>
    </w:p>
    <w:p w:rsidR="00FC3236" w:rsidRDefault="00FC3236" w:rsidP="00D251FD"/>
    <w:p w:rsidR="00FC3236" w:rsidRDefault="00FC3236" w:rsidP="00D251FD">
      <w:r>
        <w:t>(2) The activities in paragraph (1) of this definition relate to the individual to whom health care is provided and include, but are not limited to:</w:t>
      </w:r>
    </w:p>
    <w:p w:rsidR="00FC3236" w:rsidRDefault="00FC3236" w:rsidP="00D251FD">
      <w:r>
        <w:t>(</w:t>
      </w:r>
      <w:proofErr w:type="spellStart"/>
      <w:r>
        <w:t>i</w:t>
      </w:r>
      <w:proofErr w:type="spellEnd"/>
      <w:r>
        <w:t>) Determinations of eligibility or coverage (including coordination of benefits or the determination of cost sharing amounts), and adjudication or subrogation of health benefit claims;</w:t>
      </w:r>
    </w:p>
    <w:p w:rsidR="00FC3236" w:rsidRDefault="00FC3236" w:rsidP="00D251FD">
      <w:r>
        <w:t>(ii) Risk adjusting amounts due based on enrollee health status and demographic characteristics;</w:t>
      </w:r>
    </w:p>
    <w:p w:rsidR="00FC3236" w:rsidRDefault="00FC3236" w:rsidP="00D251FD">
      <w:r>
        <w:lastRenderedPageBreak/>
        <w:t>(iii) Billing, claims management, collection activities, obtaining payment under a contract for reinsurance (including stop-loss insurance and excess of loss insurance), and related health care data processing;</w:t>
      </w:r>
    </w:p>
    <w:p w:rsidR="00FC3236" w:rsidRDefault="00FC3236" w:rsidP="00D251FD">
      <w:proofErr w:type="gramStart"/>
      <w:r>
        <w:t>(iv) Review</w:t>
      </w:r>
      <w:proofErr w:type="gramEnd"/>
      <w:r>
        <w:t xml:space="preserve"> of health care services with respect to medical necessity, coverage under a health plan, appropriateness of care, or justification of charges;</w:t>
      </w:r>
    </w:p>
    <w:p w:rsidR="00FC3236" w:rsidRDefault="00FC3236" w:rsidP="00D251FD">
      <w:r>
        <w:t>(v) Utilization review activities, including precertification and preauthorization of services, concurrent and retrospective review of services; and</w:t>
      </w:r>
    </w:p>
    <w:p w:rsidR="00FC3236" w:rsidRDefault="00FC3236" w:rsidP="00D251FD">
      <w:proofErr w:type="gramStart"/>
      <w:r>
        <w:t>(vi) Disclosure</w:t>
      </w:r>
      <w:proofErr w:type="gramEnd"/>
      <w:r>
        <w:t xml:space="preserve"> to consumer reporting agencies of any of the following protected health information relating to collection of premiums or reimbursement:</w:t>
      </w:r>
    </w:p>
    <w:p w:rsidR="00FC3236" w:rsidRDefault="00FC3236" w:rsidP="00D251FD">
      <w:r>
        <w:t>(A) Name and address;</w:t>
      </w:r>
    </w:p>
    <w:p w:rsidR="00FC3236" w:rsidRDefault="00FC3236" w:rsidP="00D251FD">
      <w:r>
        <w:t>(B) Date of birth;</w:t>
      </w:r>
    </w:p>
    <w:p w:rsidR="00FC3236" w:rsidRDefault="00FC3236" w:rsidP="00D251FD">
      <w:r>
        <w:t>(C) Social security number;</w:t>
      </w:r>
    </w:p>
    <w:p w:rsidR="00FC3236" w:rsidRDefault="00FC3236" w:rsidP="00D251FD">
      <w:r>
        <w:t>(D) Payment history;</w:t>
      </w:r>
    </w:p>
    <w:p w:rsidR="00FC3236" w:rsidRDefault="00FC3236" w:rsidP="00D251FD">
      <w:r>
        <w:t>(E) Account number; and</w:t>
      </w:r>
    </w:p>
    <w:p w:rsidR="00FC3236" w:rsidRDefault="00FC3236" w:rsidP="00D251FD">
      <w:r>
        <w:t>(F) Name and address of the health care provider and/or health plan.</w:t>
      </w:r>
    </w:p>
    <w:p w:rsidR="00FC3236" w:rsidRDefault="00FC3236" w:rsidP="00D251FD"/>
    <w:p w:rsidR="00FC3236" w:rsidRDefault="00FC3236" w:rsidP="00D251FD">
      <w:r>
        <w:t>Healthcare Operations</w:t>
      </w:r>
    </w:p>
    <w:p w:rsidR="00D251FD" w:rsidRDefault="00D251FD" w:rsidP="00D251FD"/>
    <w:p w:rsidR="00FC3236" w:rsidRDefault="00FC3236" w:rsidP="00D251FD">
      <w:r>
        <w:t>Health care operations means any of the following activities of the covered entity to the extent that the activities are related to covered functions:</w:t>
      </w:r>
    </w:p>
    <w:p w:rsidR="00FC3236" w:rsidRDefault="00FC3236" w:rsidP="00D251FD">
      <w:r>
        <w:t>(1) Conducting quality assessment and improvement activities, including outcomes evaluation and development of clinical guidelines, provided that the obtaining of generalizable knowledge is not the primary purpose of any studies resulting from such activities; population-based activities relating to improving health or reducing health care costs, protocol development, case management and care coordination, contacting of health care providers and patients with information about treatment alternatives; and related functions that do not include treatment;</w:t>
      </w:r>
    </w:p>
    <w:p w:rsidR="00FC3236" w:rsidRDefault="00FC3236" w:rsidP="00D251FD">
      <w:r>
        <w:t>(2) Reviewing the competence or qualifications of health care professionals, evaluating practitioner and provider performance, health plan performance, conducting training programs in which students, trainees, or practitioners in areas of health care learn under supervision to practice or improve their skills as health care providers, training of non-health care professionals, accreditation, certification, licensing, or credentialing activities;</w:t>
      </w:r>
    </w:p>
    <w:p w:rsidR="00FC3236" w:rsidRDefault="00FC3236" w:rsidP="00D251FD">
      <w:r>
        <w:t>(3) Underwriting, premium rating, and other activities relating to the creation, renewal or replacement of a contract of health insurance or health benefits, and ceding, securing, or placing a contract for reinsurance of risk relating to claims for health care (including stop-loss insurance and excess of loss insurance), provided that the requirements of § 164.514(g) are met, if applicable;</w:t>
      </w:r>
    </w:p>
    <w:p w:rsidR="00FC3236" w:rsidRDefault="00FC3236" w:rsidP="00D251FD">
      <w:r>
        <w:t>(4) Conducting or arranging for medical review, legal services, and auditing functions, including fraud and abuse detection and compliance programs;</w:t>
      </w:r>
    </w:p>
    <w:p w:rsidR="00FC3236" w:rsidRDefault="00FC3236" w:rsidP="00D251FD">
      <w:r>
        <w:t xml:space="preserve">(5) Business planning and development, such as conducting cost-management and planning-related analyses related to managing and operating the entity, including </w:t>
      </w:r>
      <w:r>
        <w:lastRenderedPageBreak/>
        <w:t>formulary development and administration, development or improvement of methods of payment or coverage policies; and</w:t>
      </w:r>
    </w:p>
    <w:p w:rsidR="00FC3236" w:rsidRDefault="00FC3236" w:rsidP="00D251FD">
      <w:r>
        <w:t>(6) Business management and general administrative activities of the entity, including, but not limited to:</w:t>
      </w:r>
    </w:p>
    <w:p w:rsidR="00FC3236" w:rsidRDefault="00FC3236" w:rsidP="00D251FD">
      <w:r>
        <w:t>(</w:t>
      </w:r>
      <w:proofErr w:type="spellStart"/>
      <w:r>
        <w:t>i</w:t>
      </w:r>
      <w:proofErr w:type="spellEnd"/>
      <w:r>
        <w:t>) Management activities relating to implementation of and compliance with the requirements of this subchapter;</w:t>
      </w:r>
    </w:p>
    <w:p w:rsidR="00FC3236" w:rsidRDefault="00FC3236" w:rsidP="00D251FD">
      <w:r>
        <w:t>(ii) Customer service, including the provision of data analyses for policy holders, plan sponsors, or other customers, provided that protected health information is not disclosed to such policy holder, plan sponsor, or customer.</w:t>
      </w:r>
    </w:p>
    <w:p w:rsidR="00FC3236" w:rsidRDefault="00FC3236" w:rsidP="00D251FD">
      <w:r>
        <w:t>(iii) Resolution of internal grievances;</w:t>
      </w:r>
    </w:p>
    <w:p w:rsidR="00FC3236" w:rsidRDefault="00FC3236" w:rsidP="00D251FD">
      <w:r>
        <w:t>(iv) The sale, transfer, merger, or consolidation of all or part of the covered entity with another covered entity, or an entity that following such activity will become a covered entity and due diligence related to such activity; and</w:t>
      </w:r>
    </w:p>
    <w:p w:rsidR="00FC3236" w:rsidRDefault="00FC3236" w:rsidP="00D251FD">
      <w:r>
        <w:t>(</w:t>
      </w:r>
      <w:proofErr w:type="gramStart"/>
      <w:r>
        <w:t>v</w:t>
      </w:r>
      <w:proofErr w:type="gramEnd"/>
      <w:r>
        <w:t>) Consistent with the applicable requirements of § 164.514, creating de-identified health information or a limited data set, and fundraising for the benefit of the covered entity.</w:t>
      </w:r>
    </w:p>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5A5F6F" w:rsidRDefault="005A5F6F">
      <w:pPr>
        <w:rPr>
          <w:rFonts w:ascii="Arial" w:hAnsi="Arial" w:cs="Arial"/>
          <w:b/>
          <w:bCs/>
          <w:kern w:val="32"/>
          <w:sz w:val="32"/>
          <w:szCs w:val="32"/>
        </w:rPr>
      </w:pPr>
      <w:bookmarkStart w:id="12" w:name="_Toc432066412"/>
      <w:bookmarkEnd w:id="3"/>
      <w:r>
        <w:br w:type="page"/>
      </w:r>
    </w:p>
    <w:p w:rsidR="00362E3C" w:rsidRPr="00D251FD" w:rsidRDefault="00362E3C" w:rsidP="00AD7D17">
      <w:pPr>
        <w:pStyle w:val="Heading1"/>
      </w:pPr>
      <w:r w:rsidRPr="00D251FD">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5A5F6F" w:rsidP="005A5F6F">
            <w:r>
              <w:t>01-Mar</w:t>
            </w:r>
            <w:r w:rsidR="005F36F0">
              <w:t>-2016</w:t>
            </w:r>
          </w:p>
        </w:tc>
        <w:tc>
          <w:tcPr>
            <w:tcW w:w="6768" w:type="dxa"/>
          </w:tcPr>
          <w:p w:rsidR="00362E3C" w:rsidRDefault="00362E3C" w:rsidP="004A3AA7">
            <w:r>
              <w:t>Initial Release</w:t>
            </w:r>
            <w:r w:rsidR="005A5F6F">
              <w:t>.</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6E1A62">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9"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0"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1"/>
      <w:headerReference w:type="default" r:id="rId12"/>
      <w:foot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186" w:rsidRDefault="00512186">
      <w:r>
        <w:separator/>
      </w:r>
    </w:p>
  </w:endnote>
  <w:endnote w:type="continuationSeparator" w:id="0">
    <w:p w:rsidR="00512186" w:rsidRDefault="0051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eelawadee">
    <w:altName w:val="Segoe UI"/>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6F0" w:rsidRDefault="005F36F0" w:rsidP="005F36F0">
    <w:pPr>
      <w:pStyle w:val="Footer"/>
      <w:jc w:val="right"/>
      <w:rPr>
        <w:b/>
        <w:color w:val="000000"/>
        <w:sz w:val="16"/>
        <w:szCs w:val="16"/>
      </w:rPr>
    </w:pPr>
    <w:r>
      <w:rPr>
        <w:b/>
        <w:color w:val="000000"/>
        <w:sz w:val="16"/>
        <w:szCs w:val="16"/>
      </w:rPr>
      <w:t>Rev.: 01</w:t>
    </w:r>
    <w:r w:rsidR="00496B64">
      <w:rPr>
        <w:b/>
        <w:color w:val="000000"/>
        <w:sz w:val="16"/>
        <w:szCs w:val="16"/>
      </w:rPr>
      <w:t>Mar2</w:t>
    </w:r>
    <w:r>
      <w:rPr>
        <w:b/>
        <w:color w:val="000000"/>
        <w:sz w:val="16"/>
        <w:szCs w:val="16"/>
      </w:rPr>
      <w:t>016</w:t>
    </w:r>
  </w:p>
  <w:p w:rsidR="005F36F0" w:rsidRDefault="005F36F0" w:rsidP="005F36F0">
    <w:pPr>
      <w:pStyle w:val="Footer"/>
      <w:jc w:val="right"/>
      <w:rPr>
        <w:b/>
        <w:color w:val="000000"/>
        <w:sz w:val="16"/>
        <w:szCs w:val="16"/>
      </w:rPr>
    </w:pPr>
    <w:r>
      <w:rPr>
        <w:b/>
        <w:color w:val="000000"/>
        <w:sz w:val="16"/>
        <w:szCs w:val="16"/>
      </w:rPr>
      <w:t>EHR Test-155</w:t>
    </w:r>
  </w:p>
  <w:p w:rsidR="005F36F0" w:rsidRDefault="005F36F0" w:rsidP="005F36F0">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F2C0E">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F2C0E">
      <w:rPr>
        <w:b/>
        <w:noProof/>
        <w:sz w:val="16"/>
        <w:szCs w:val="16"/>
      </w:rPr>
      <w:t>12</w:t>
    </w:r>
    <w:r>
      <w:rPr>
        <w:b/>
        <w:sz w:val="16"/>
        <w:szCs w:val="16"/>
      </w:rPr>
      <w:fldChar w:fldCharType="end"/>
    </w:r>
  </w:p>
  <w:p w:rsidR="005F36F0" w:rsidRPr="00894E8A" w:rsidRDefault="005F36F0" w:rsidP="005F36F0">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5F36F0" w:rsidRPr="00894E8A" w:rsidRDefault="005F36F0" w:rsidP="005F36F0">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5F36F0" w:rsidRDefault="006B0544" w:rsidP="005F3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186" w:rsidRDefault="00512186">
      <w:r>
        <w:separator/>
      </w:r>
    </w:p>
  </w:footnote>
  <w:footnote w:type="continuationSeparator" w:id="0">
    <w:p w:rsidR="00512186" w:rsidRDefault="00512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5121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512186"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A2484F">
      <w:rPr>
        <w:b/>
        <w:color w:val="000000"/>
      </w:rPr>
      <w:t>170.315.d.11</w:t>
    </w:r>
    <w:r w:rsidR="006E6CFC">
      <w:rPr>
        <w:b/>
        <w:color w:val="000000"/>
      </w:rPr>
      <w:t xml:space="preserve"> </w:t>
    </w:r>
    <w:r w:rsidR="00A2484F">
      <w:rPr>
        <w:b/>
        <w:color w:val="000000"/>
      </w:rPr>
      <w:t>Accounting of Disclosures</w:t>
    </w:r>
    <w:r w:rsidR="0040387A">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5121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715D"/>
    <w:multiLevelType w:val="multilevel"/>
    <w:tmpl w:val="A0D80EC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1D2C65"/>
    <w:multiLevelType w:val="multilevel"/>
    <w:tmpl w:val="CF743E22"/>
    <w:lvl w:ilvl="0">
      <w:start w:val="2"/>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206CC6"/>
    <w:multiLevelType w:val="hybridMultilevel"/>
    <w:tmpl w:val="57362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C104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B4D33"/>
    <w:multiLevelType w:val="hybridMultilevel"/>
    <w:tmpl w:val="BD8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51D4C9E"/>
    <w:multiLevelType w:val="hybridMultilevel"/>
    <w:tmpl w:val="EC3C7AAE"/>
    <w:lvl w:ilvl="0" w:tplc="803291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CF550F8"/>
    <w:multiLevelType w:val="multilevel"/>
    <w:tmpl w:val="E86E8364"/>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3FA0B7F"/>
    <w:multiLevelType w:val="hybridMultilevel"/>
    <w:tmpl w:val="65CE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4"/>
  </w:num>
  <w:num w:numId="3">
    <w:abstractNumId w:val="13"/>
  </w:num>
  <w:num w:numId="4">
    <w:abstractNumId w:val="12"/>
  </w:num>
  <w:num w:numId="5">
    <w:abstractNumId w:val="19"/>
  </w:num>
  <w:num w:numId="6">
    <w:abstractNumId w:val="5"/>
  </w:num>
  <w:num w:numId="7">
    <w:abstractNumId w:val="6"/>
  </w:num>
  <w:num w:numId="8">
    <w:abstractNumId w:val="26"/>
  </w:num>
  <w:num w:numId="9">
    <w:abstractNumId w:val="8"/>
  </w:num>
  <w:num w:numId="10">
    <w:abstractNumId w:val="25"/>
  </w:num>
  <w:num w:numId="11">
    <w:abstractNumId w:val="3"/>
  </w:num>
  <w:num w:numId="12">
    <w:abstractNumId w:val="23"/>
  </w:num>
  <w:num w:numId="13">
    <w:abstractNumId w:val="18"/>
  </w:num>
  <w:num w:numId="14">
    <w:abstractNumId w:val="27"/>
  </w:num>
  <w:num w:numId="15">
    <w:abstractNumId w:val="28"/>
  </w:num>
  <w:num w:numId="16">
    <w:abstractNumId w:val="35"/>
  </w:num>
  <w:num w:numId="17">
    <w:abstractNumId w:val="1"/>
  </w:num>
  <w:num w:numId="18">
    <w:abstractNumId w:val="33"/>
  </w:num>
  <w:num w:numId="19">
    <w:abstractNumId w:val="30"/>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
  </w:num>
  <w:num w:numId="23">
    <w:abstractNumId w:val="22"/>
  </w:num>
  <w:num w:numId="24">
    <w:abstractNumId w:val="20"/>
  </w:num>
  <w:num w:numId="25">
    <w:abstractNumId w:val="21"/>
  </w:num>
  <w:num w:numId="26">
    <w:abstractNumId w:val="36"/>
  </w:num>
  <w:num w:numId="27">
    <w:abstractNumId w:val="24"/>
  </w:num>
  <w:num w:numId="28">
    <w:abstractNumId w:val="34"/>
  </w:num>
  <w:num w:numId="29">
    <w:abstractNumId w:val="16"/>
  </w:num>
  <w:num w:numId="30">
    <w:abstractNumId w:val="9"/>
  </w:num>
  <w:num w:numId="31">
    <w:abstractNumId w:val="14"/>
  </w:num>
  <w:num w:numId="32">
    <w:abstractNumId w:val="29"/>
  </w:num>
  <w:num w:numId="33">
    <w:abstractNumId w:val="11"/>
  </w:num>
  <w:num w:numId="34">
    <w:abstractNumId w:val="31"/>
  </w:num>
  <w:num w:numId="35">
    <w:abstractNumId w:val="0"/>
  </w:num>
  <w:num w:numId="36">
    <w:abstractNumId w:val="7"/>
  </w:num>
  <w:num w:numId="37">
    <w:abstractNumId w:val="3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15EF"/>
    <w:rsid w:val="000136BA"/>
    <w:rsid w:val="00017B5D"/>
    <w:rsid w:val="00017ED2"/>
    <w:rsid w:val="000239B3"/>
    <w:rsid w:val="00023BE3"/>
    <w:rsid w:val="00027433"/>
    <w:rsid w:val="00031C7D"/>
    <w:rsid w:val="00031CC0"/>
    <w:rsid w:val="00033396"/>
    <w:rsid w:val="0003750C"/>
    <w:rsid w:val="0004290B"/>
    <w:rsid w:val="000449FC"/>
    <w:rsid w:val="000466CB"/>
    <w:rsid w:val="00046795"/>
    <w:rsid w:val="00050263"/>
    <w:rsid w:val="00050F36"/>
    <w:rsid w:val="000545E6"/>
    <w:rsid w:val="00055538"/>
    <w:rsid w:val="00055576"/>
    <w:rsid w:val="00055F1E"/>
    <w:rsid w:val="00062EDB"/>
    <w:rsid w:val="000638E6"/>
    <w:rsid w:val="00063DD0"/>
    <w:rsid w:val="00065309"/>
    <w:rsid w:val="000656BA"/>
    <w:rsid w:val="000718AD"/>
    <w:rsid w:val="00075C49"/>
    <w:rsid w:val="00075DCA"/>
    <w:rsid w:val="0007769F"/>
    <w:rsid w:val="0008384D"/>
    <w:rsid w:val="0008418A"/>
    <w:rsid w:val="00092310"/>
    <w:rsid w:val="0009560A"/>
    <w:rsid w:val="00097CD4"/>
    <w:rsid w:val="000A27DD"/>
    <w:rsid w:val="000A2D31"/>
    <w:rsid w:val="000A4D9A"/>
    <w:rsid w:val="000A4DA2"/>
    <w:rsid w:val="000A62A6"/>
    <w:rsid w:val="000B2167"/>
    <w:rsid w:val="000B2CA8"/>
    <w:rsid w:val="000B3D81"/>
    <w:rsid w:val="000B54B8"/>
    <w:rsid w:val="000B68FE"/>
    <w:rsid w:val="000C0887"/>
    <w:rsid w:val="000C0938"/>
    <w:rsid w:val="000C1FDB"/>
    <w:rsid w:val="000C2A49"/>
    <w:rsid w:val="000C2BA6"/>
    <w:rsid w:val="000C3F05"/>
    <w:rsid w:val="000C794F"/>
    <w:rsid w:val="000D29F8"/>
    <w:rsid w:val="000D5EE4"/>
    <w:rsid w:val="000D7CFC"/>
    <w:rsid w:val="000E6311"/>
    <w:rsid w:val="000F71EF"/>
    <w:rsid w:val="00101400"/>
    <w:rsid w:val="0010252A"/>
    <w:rsid w:val="00105D7B"/>
    <w:rsid w:val="001128A5"/>
    <w:rsid w:val="00113D1D"/>
    <w:rsid w:val="00115F20"/>
    <w:rsid w:val="00116B42"/>
    <w:rsid w:val="00124587"/>
    <w:rsid w:val="00127916"/>
    <w:rsid w:val="00133301"/>
    <w:rsid w:val="0013504F"/>
    <w:rsid w:val="00136BE0"/>
    <w:rsid w:val="0014729D"/>
    <w:rsid w:val="001552A1"/>
    <w:rsid w:val="00157882"/>
    <w:rsid w:val="00161A53"/>
    <w:rsid w:val="00165103"/>
    <w:rsid w:val="0016765A"/>
    <w:rsid w:val="00172C28"/>
    <w:rsid w:val="00172D5C"/>
    <w:rsid w:val="00174D10"/>
    <w:rsid w:val="001756EE"/>
    <w:rsid w:val="00180A9E"/>
    <w:rsid w:val="00181021"/>
    <w:rsid w:val="00190714"/>
    <w:rsid w:val="0019552B"/>
    <w:rsid w:val="001A300F"/>
    <w:rsid w:val="001A55F0"/>
    <w:rsid w:val="001A6B8E"/>
    <w:rsid w:val="001A7287"/>
    <w:rsid w:val="001A7BFA"/>
    <w:rsid w:val="001B0112"/>
    <w:rsid w:val="001B2F8A"/>
    <w:rsid w:val="001B713D"/>
    <w:rsid w:val="001C0252"/>
    <w:rsid w:val="001C23FD"/>
    <w:rsid w:val="001D1BE5"/>
    <w:rsid w:val="001D1F57"/>
    <w:rsid w:val="001D6341"/>
    <w:rsid w:val="001E3197"/>
    <w:rsid w:val="001E43FC"/>
    <w:rsid w:val="001E4A32"/>
    <w:rsid w:val="001E5F28"/>
    <w:rsid w:val="002015BB"/>
    <w:rsid w:val="0020410A"/>
    <w:rsid w:val="002056F0"/>
    <w:rsid w:val="00207377"/>
    <w:rsid w:val="0022327B"/>
    <w:rsid w:val="00230E45"/>
    <w:rsid w:val="0023498A"/>
    <w:rsid w:val="00235E08"/>
    <w:rsid w:val="0023696C"/>
    <w:rsid w:val="002378DE"/>
    <w:rsid w:val="00240637"/>
    <w:rsid w:val="00242B20"/>
    <w:rsid w:val="00243AA5"/>
    <w:rsid w:val="0024522E"/>
    <w:rsid w:val="002469C0"/>
    <w:rsid w:val="00246A96"/>
    <w:rsid w:val="002506CD"/>
    <w:rsid w:val="00252411"/>
    <w:rsid w:val="00253A43"/>
    <w:rsid w:val="002544D3"/>
    <w:rsid w:val="00255DC9"/>
    <w:rsid w:val="00257318"/>
    <w:rsid w:val="0027195F"/>
    <w:rsid w:val="002749C1"/>
    <w:rsid w:val="002806B4"/>
    <w:rsid w:val="00281F8D"/>
    <w:rsid w:val="0028223B"/>
    <w:rsid w:val="00282D9B"/>
    <w:rsid w:val="00286729"/>
    <w:rsid w:val="00294DBF"/>
    <w:rsid w:val="00296C9E"/>
    <w:rsid w:val="00297D31"/>
    <w:rsid w:val="002B03E8"/>
    <w:rsid w:val="002B41B2"/>
    <w:rsid w:val="002B594B"/>
    <w:rsid w:val="002C15F7"/>
    <w:rsid w:val="002C27AE"/>
    <w:rsid w:val="002C7559"/>
    <w:rsid w:val="002D50A7"/>
    <w:rsid w:val="002E38C4"/>
    <w:rsid w:val="002E3C26"/>
    <w:rsid w:val="002F155B"/>
    <w:rsid w:val="002F4A2E"/>
    <w:rsid w:val="002F7958"/>
    <w:rsid w:val="00300946"/>
    <w:rsid w:val="0030412A"/>
    <w:rsid w:val="00304DF3"/>
    <w:rsid w:val="00304E70"/>
    <w:rsid w:val="00312127"/>
    <w:rsid w:val="00312AFC"/>
    <w:rsid w:val="003216C1"/>
    <w:rsid w:val="00332F85"/>
    <w:rsid w:val="00333E8D"/>
    <w:rsid w:val="00336EDC"/>
    <w:rsid w:val="00347368"/>
    <w:rsid w:val="00351967"/>
    <w:rsid w:val="00356A25"/>
    <w:rsid w:val="00361501"/>
    <w:rsid w:val="00362E3C"/>
    <w:rsid w:val="00363215"/>
    <w:rsid w:val="003672AF"/>
    <w:rsid w:val="00394B5F"/>
    <w:rsid w:val="00395193"/>
    <w:rsid w:val="00395A28"/>
    <w:rsid w:val="003B1CB6"/>
    <w:rsid w:val="003B29A3"/>
    <w:rsid w:val="003B3080"/>
    <w:rsid w:val="003B5D31"/>
    <w:rsid w:val="003B7D35"/>
    <w:rsid w:val="003C0A1B"/>
    <w:rsid w:val="003C3545"/>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40387A"/>
    <w:rsid w:val="0041020F"/>
    <w:rsid w:val="004151F1"/>
    <w:rsid w:val="0041731B"/>
    <w:rsid w:val="004208AA"/>
    <w:rsid w:val="00423BE9"/>
    <w:rsid w:val="00425817"/>
    <w:rsid w:val="00432ED8"/>
    <w:rsid w:val="00433A78"/>
    <w:rsid w:val="00445293"/>
    <w:rsid w:val="00450818"/>
    <w:rsid w:val="004634F0"/>
    <w:rsid w:val="004748BF"/>
    <w:rsid w:val="00474E2A"/>
    <w:rsid w:val="00477E14"/>
    <w:rsid w:val="00482BAD"/>
    <w:rsid w:val="00483CCA"/>
    <w:rsid w:val="00496099"/>
    <w:rsid w:val="00496B64"/>
    <w:rsid w:val="00496E55"/>
    <w:rsid w:val="004A01D2"/>
    <w:rsid w:val="004A3AA7"/>
    <w:rsid w:val="004A6BA7"/>
    <w:rsid w:val="004A7C8A"/>
    <w:rsid w:val="004B1EBD"/>
    <w:rsid w:val="004B79E8"/>
    <w:rsid w:val="004C1AC2"/>
    <w:rsid w:val="004C251E"/>
    <w:rsid w:val="004C3732"/>
    <w:rsid w:val="004C47B5"/>
    <w:rsid w:val="004C6907"/>
    <w:rsid w:val="004D2E7F"/>
    <w:rsid w:val="004D4331"/>
    <w:rsid w:val="004D45F3"/>
    <w:rsid w:val="004E2152"/>
    <w:rsid w:val="004E35BA"/>
    <w:rsid w:val="004E392E"/>
    <w:rsid w:val="004E565C"/>
    <w:rsid w:val="004E5BF8"/>
    <w:rsid w:val="004F04A1"/>
    <w:rsid w:val="004F56BB"/>
    <w:rsid w:val="00500B86"/>
    <w:rsid w:val="00507022"/>
    <w:rsid w:val="00512186"/>
    <w:rsid w:val="00512208"/>
    <w:rsid w:val="00526D00"/>
    <w:rsid w:val="005331EB"/>
    <w:rsid w:val="00534CDF"/>
    <w:rsid w:val="00534F68"/>
    <w:rsid w:val="00535B6C"/>
    <w:rsid w:val="005374DD"/>
    <w:rsid w:val="0054058F"/>
    <w:rsid w:val="005456C3"/>
    <w:rsid w:val="005466DC"/>
    <w:rsid w:val="00551824"/>
    <w:rsid w:val="00552652"/>
    <w:rsid w:val="00560ECA"/>
    <w:rsid w:val="00561BD6"/>
    <w:rsid w:val="00562510"/>
    <w:rsid w:val="00563FC7"/>
    <w:rsid w:val="00566FE3"/>
    <w:rsid w:val="00570710"/>
    <w:rsid w:val="00571AD3"/>
    <w:rsid w:val="005769DE"/>
    <w:rsid w:val="00583CB0"/>
    <w:rsid w:val="00586615"/>
    <w:rsid w:val="005959FD"/>
    <w:rsid w:val="0059752C"/>
    <w:rsid w:val="005A27CE"/>
    <w:rsid w:val="005A5CC3"/>
    <w:rsid w:val="005A5CD8"/>
    <w:rsid w:val="005A5F6F"/>
    <w:rsid w:val="005B1322"/>
    <w:rsid w:val="005C3EC4"/>
    <w:rsid w:val="005C41F3"/>
    <w:rsid w:val="005C4620"/>
    <w:rsid w:val="005C7B0B"/>
    <w:rsid w:val="005D24DB"/>
    <w:rsid w:val="005D5757"/>
    <w:rsid w:val="005D7DAE"/>
    <w:rsid w:val="005E28F5"/>
    <w:rsid w:val="005E2A61"/>
    <w:rsid w:val="005E4463"/>
    <w:rsid w:val="005E5B86"/>
    <w:rsid w:val="005F020C"/>
    <w:rsid w:val="005F36F0"/>
    <w:rsid w:val="005F4354"/>
    <w:rsid w:val="005F464D"/>
    <w:rsid w:val="005F5A97"/>
    <w:rsid w:val="005F5DA0"/>
    <w:rsid w:val="00601A68"/>
    <w:rsid w:val="0060621F"/>
    <w:rsid w:val="00611C50"/>
    <w:rsid w:val="006162CA"/>
    <w:rsid w:val="0062750E"/>
    <w:rsid w:val="00630251"/>
    <w:rsid w:val="00632B41"/>
    <w:rsid w:val="00633D96"/>
    <w:rsid w:val="00634649"/>
    <w:rsid w:val="00641425"/>
    <w:rsid w:val="006475F2"/>
    <w:rsid w:val="00652336"/>
    <w:rsid w:val="00652384"/>
    <w:rsid w:val="00652D34"/>
    <w:rsid w:val="00654463"/>
    <w:rsid w:val="00661363"/>
    <w:rsid w:val="0066530B"/>
    <w:rsid w:val="00665435"/>
    <w:rsid w:val="00666020"/>
    <w:rsid w:val="00667C38"/>
    <w:rsid w:val="00670062"/>
    <w:rsid w:val="00670919"/>
    <w:rsid w:val="00671ECB"/>
    <w:rsid w:val="00672C37"/>
    <w:rsid w:val="00674AFC"/>
    <w:rsid w:val="006853FE"/>
    <w:rsid w:val="0069259C"/>
    <w:rsid w:val="006A4EB1"/>
    <w:rsid w:val="006A5B3D"/>
    <w:rsid w:val="006A5DFF"/>
    <w:rsid w:val="006A5F3F"/>
    <w:rsid w:val="006B0544"/>
    <w:rsid w:val="006B353C"/>
    <w:rsid w:val="006B3E9B"/>
    <w:rsid w:val="006C1E6B"/>
    <w:rsid w:val="006D0DFD"/>
    <w:rsid w:val="006D2AE3"/>
    <w:rsid w:val="006D3A92"/>
    <w:rsid w:val="006E0446"/>
    <w:rsid w:val="006E1A62"/>
    <w:rsid w:val="006E4732"/>
    <w:rsid w:val="006E4FC6"/>
    <w:rsid w:val="006E6CFC"/>
    <w:rsid w:val="006F07EF"/>
    <w:rsid w:val="006F1AD9"/>
    <w:rsid w:val="00700BF6"/>
    <w:rsid w:val="007037A4"/>
    <w:rsid w:val="00704C2B"/>
    <w:rsid w:val="007050D8"/>
    <w:rsid w:val="007050EA"/>
    <w:rsid w:val="00722F2F"/>
    <w:rsid w:val="007277A5"/>
    <w:rsid w:val="00736732"/>
    <w:rsid w:val="00736D90"/>
    <w:rsid w:val="00737178"/>
    <w:rsid w:val="007464BD"/>
    <w:rsid w:val="0075038E"/>
    <w:rsid w:val="0075155D"/>
    <w:rsid w:val="007563B5"/>
    <w:rsid w:val="007674FB"/>
    <w:rsid w:val="007678EB"/>
    <w:rsid w:val="00767AF9"/>
    <w:rsid w:val="00772372"/>
    <w:rsid w:val="00772D11"/>
    <w:rsid w:val="007764AD"/>
    <w:rsid w:val="007773B8"/>
    <w:rsid w:val="007774B2"/>
    <w:rsid w:val="00780CD5"/>
    <w:rsid w:val="00781137"/>
    <w:rsid w:val="00781A12"/>
    <w:rsid w:val="00782151"/>
    <w:rsid w:val="0079006E"/>
    <w:rsid w:val="007902A0"/>
    <w:rsid w:val="00795D54"/>
    <w:rsid w:val="007B122A"/>
    <w:rsid w:val="007B3237"/>
    <w:rsid w:val="007B44A7"/>
    <w:rsid w:val="007C1766"/>
    <w:rsid w:val="007C7956"/>
    <w:rsid w:val="007D219D"/>
    <w:rsid w:val="007D6E6C"/>
    <w:rsid w:val="007E26F6"/>
    <w:rsid w:val="007E4666"/>
    <w:rsid w:val="007E4947"/>
    <w:rsid w:val="007E5673"/>
    <w:rsid w:val="007E5A44"/>
    <w:rsid w:val="007F2F29"/>
    <w:rsid w:val="007F6B57"/>
    <w:rsid w:val="007F73D0"/>
    <w:rsid w:val="00802166"/>
    <w:rsid w:val="00803692"/>
    <w:rsid w:val="00804F5C"/>
    <w:rsid w:val="00805347"/>
    <w:rsid w:val="008057E3"/>
    <w:rsid w:val="00805C46"/>
    <w:rsid w:val="008067F9"/>
    <w:rsid w:val="00806AA3"/>
    <w:rsid w:val="008102EA"/>
    <w:rsid w:val="00811CEC"/>
    <w:rsid w:val="00815536"/>
    <w:rsid w:val="00815ED7"/>
    <w:rsid w:val="008163E0"/>
    <w:rsid w:val="00820B7C"/>
    <w:rsid w:val="008216D9"/>
    <w:rsid w:val="00825FAD"/>
    <w:rsid w:val="00825FBD"/>
    <w:rsid w:val="0082645E"/>
    <w:rsid w:val="00832EAA"/>
    <w:rsid w:val="00835138"/>
    <w:rsid w:val="00846EE6"/>
    <w:rsid w:val="008474F3"/>
    <w:rsid w:val="00854D10"/>
    <w:rsid w:val="008575E2"/>
    <w:rsid w:val="008603F5"/>
    <w:rsid w:val="00863910"/>
    <w:rsid w:val="008711DF"/>
    <w:rsid w:val="0087425C"/>
    <w:rsid w:val="00882958"/>
    <w:rsid w:val="00882FCB"/>
    <w:rsid w:val="00884B3F"/>
    <w:rsid w:val="00885145"/>
    <w:rsid w:val="00890497"/>
    <w:rsid w:val="008938F2"/>
    <w:rsid w:val="00894E8A"/>
    <w:rsid w:val="00895E98"/>
    <w:rsid w:val="008A3D6B"/>
    <w:rsid w:val="008A4E56"/>
    <w:rsid w:val="008A71A2"/>
    <w:rsid w:val="008B3D7C"/>
    <w:rsid w:val="008B3F4F"/>
    <w:rsid w:val="008B7D72"/>
    <w:rsid w:val="008C3B5F"/>
    <w:rsid w:val="008D0FC4"/>
    <w:rsid w:val="008D6DF4"/>
    <w:rsid w:val="008E7308"/>
    <w:rsid w:val="008F0CE5"/>
    <w:rsid w:val="008F5CB9"/>
    <w:rsid w:val="00900917"/>
    <w:rsid w:val="0090490B"/>
    <w:rsid w:val="00912AB3"/>
    <w:rsid w:val="00912DB0"/>
    <w:rsid w:val="00914AAA"/>
    <w:rsid w:val="009153C8"/>
    <w:rsid w:val="00927801"/>
    <w:rsid w:val="00930206"/>
    <w:rsid w:val="00940BD4"/>
    <w:rsid w:val="00947A53"/>
    <w:rsid w:val="009503CF"/>
    <w:rsid w:val="009515CA"/>
    <w:rsid w:val="009538A5"/>
    <w:rsid w:val="00955877"/>
    <w:rsid w:val="00957D2C"/>
    <w:rsid w:val="00963829"/>
    <w:rsid w:val="00971581"/>
    <w:rsid w:val="00974C2E"/>
    <w:rsid w:val="009762F3"/>
    <w:rsid w:val="00982A06"/>
    <w:rsid w:val="00982B9F"/>
    <w:rsid w:val="00983B55"/>
    <w:rsid w:val="0098581A"/>
    <w:rsid w:val="00992490"/>
    <w:rsid w:val="009A1685"/>
    <w:rsid w:val="009A1745"/>
    <w:rsid w:val="009A1760"/>
    <w:rsid w:val="009A5889"/>
    <w:rsid w:val="009B1340"/>
    <w:rsid w:val="009B2190"/>
    <w:rsid w:val="009B2326"/>
    <w:rsid w:val="009B454F"/>
    <w:rsid w:val="009B4D4A"/>
    <w:rsid w:val="009B73E6"/>
    <w:rsid w:val="009C34C2"/>
    <w:rsid w:val="009C3C3D"/>
    <w:rsid w:val="009D5A77"/>
    <w:rsid w:val="009D5B8F"/>
    <w:rsid w:val="009E1DB2"/>
    <w:rsid w:val="009E2891"/>
    <w:rsid w:val="009F2C0E"/>
    <w:rsid w:val="009F721E"/>
    <w:rsid w:val="00A05A9B"/>
    <w:rsid w:val="00A1775F"/>
    <w:rsid w:val="00A205AD"/>
    <w:rsid w:val="00A21CB3"/>
    <w:rsid w:val="00A21DA5"/>
    <w:rsid w:val="00A2484F"/>
    <w:rsid w:val="00A260B0"/>
    <w:rsid w:val="00A3038C"/>
    <w:rsid w:val="00A30B26"/>
    <w:rsid w:val="00A3278B"/>
    <w:rsid w:val="00A33569"/>
    <w:rsid w:val="00A369C5"/>
    <w:rsid w:val="00A42E4B"/>
    <w:rsid w:val="00A44ACB"/>
    <w:rsid w:val="00A455FD"/>
    <w:rsid w:val="00A461C4"/>
    <w:rsid w:val="00A467AA"/>
    <w:rsid w:val="00A5019D"/>
    <w:rsid w:val="00A51E26"/>
    <w:rsid w:val="00A54344"/>
    <w:rsid w:val="00A55EE0"/>
    <w:rsid w:val="00A702BE"/>
    <w:rsid w:val="00A70D15"/>
    <w:rsid w:val="00A80CE4"/>
    <w:rsid w:val="00A820E7"/>
    <w:rsid w:val="00A821F7"/>
    <w:rsid w:val="00A871EA"/>
    <w:rsid w:val="00A87521"/>
    <w:rsid w:val="00A90F19"/>
    <w:rsid w:val="00A911A2"/>
    <w:rsid w:val="00A9314C"/>
    <w:rsid w:val="00A956A9"/>
    <w:rsid w:val="00AA1216"/>
    <w:rsid w:val="00AA3FC6"/>
    <w:rsid w:val="00AB0FEE"/>
    <w:rsid w:val="00AB3EA6"/>
    <w:rsid w:val="00AB5E69"/>
    <w:rsid w:val="00AB617D"/>
    <w:rsid w:val="00AC228E"/>
    <w:rsid w:val="00AC3FA3"/>
    <w:rsid w:val="00AC7814"/>
    <w:rsid w:val="00AD04B5"/>
    <w:rsid w:val="00AD0EED"/>
    <w:rsid w:val="00AD59D9"/>
    <w:rsid w:val="00AD6373"/>
    <w:rsid w:val="00AD7D17"/>
    <w:rsid w:val="00AE09A7"/>
    <w:rsid w:val="00AE2482"/>
    <w:rsid w:val="00AF3B2E"/>
    <w:rsid w:val="00B00BC1"/>
    <w:rsid w:val="00B022FE"/>
    <w:rsid w:val="00B0271A"/>
    <w:rsid w:val="00B037E7"/>
    <w:rsid w:val="00B06CD6"/>
    <w:rsid w:val="00B14792"/>
    <w:rsid w:val="00B22AA7"/>
    <w:rsid w:val="00B24CEC"/>
    <w:rsid w:val="00B25FAC"/>
    <w:rsid w:val="00B360A3"/>
    <w:rsid w:val="00B41E40"/>
    <w:rsid w:val="00B426B3"/>
    <w:rsid w:val="00B502B4"/>
    <w:rsid w:val="00B50908"/>
    <w:rsid w:val="00B51252"/>
    <w:rsid w:val="00B5370B"/>
    <w:rsid w:val="00B65019"/>
    <w:rsid w:val="00B67AA1"/>
    <w:rsid w:val="00B67D00"/>
    <w:rsid w:val="00B704EA"/>
    <w:rsid w:val="00B725FB"/>
    <w:rsid w:val="00B748B3"/>
    <w:rsid w:val="00B74F7C"/>
    <w:rsid w:val="00B75D8C"/>
    <w:rsid w:val="00B77808"/>
    <w:rsid w:val="00B80073"/>
    <w:rsid w:val="00B879CA"/>
    <w:rsid w:val="00B9310A"/>
    <w:rsid w:val="00B945EB"/>
    <w:rsid w:val="00B94AD0"/>
    <w:rsid w:val="00B966E0"/>
    <w:rsid w:val="00BA0EF0"/>
    <w:rsid w:val="00BA5C92"/>
    <w:rsid w:val="00BA70B9"/>
    <w:rsid w:val="00BB0758"/>
    <w:rsid w:val="00BB1011"/>
    <w:rsid w:val="00BB1C64"/>
    <w:rsid w:val="00BB1CB8"/>
    <w:rsid w:val="00BB1D21"/>
    <w:rsid w:val="00BB3C2E"/>
    <w:rsid w:val="00BB4AAF"/>
    <w:rsid w:val="00BB5F95"/>
    <w:rsid w:val="00BC51D3"/>
    <w:rsid w:val="00BC5F6D"/>
    <w:rsid w:val="00BD61F1"/>
    <w:rsid w:val="00BD737D"/>
    <w:rsid w:val="00BE13B4"/>
    <w:rsid w:val="00BE5907"/>
    <w:rsid w:val="00BF05D0"/>
    <w:rsid w:val="00C02A12"/>
    <w:rsid w:val="00C1100C"/>
    <w:rsid w:val="00C16958"/>
    <w:rsid w:val="00C16EDE"/>
    <w:rsid w:val="00C171F2"/>
    <w:rsid w:val="00C250C5"/>
    <w:rsid w:val="00C3137C"/>
    <w:rsid w:val="00C34948"/>
    <w:rsid w:val="00C379BF"/>
    <w:rsid w:val="00C44E24"/>
    <w:rsid w:val="00C45CB4"/>
    <w:rsid w:val="00C501E5"/>
    <w:rsid w:val="00C50B24"/>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90616"/>
    <w:rsid w:val="00C91319"/>
    <w:rsid w:val="00C93FD9"/>
    <w:rsid w:val="00C95F40"/>
    <w:rsid w:val="00C96762"/>
    <w:rsid w:val="00CA2E5D"/>
    <w:rsid w:val="00CA443F"/>
    <w:rsid w:val="00CA5473"/>
    <w:rsid w:val="00CA6BB3"/>
    <w:rsid w:val="00CB00A7"/>
    <w:rsid w:val="00CB0B3B"/>
    <w:rsid w:val="00CB0BEB"/>
    <w:rsid w:val="00CB2A3D"/>
    <w:rsid w:val="00CB4820"/>
    <w:rsid w:val="00CB5B6F"/>
    <w:rsid w:val="00CC38C0"/>
    <w:rsid w:val="00CC4D39"/>
    <w:rsid w:val="00CC5410"/>
    <w:rsid w:val="00CC66F8"/>
    <w:rsid w:val="00CD4476"/>
    <w:rsid w:val="00CD4F99"/>
    <w:rsid w:val="00CE1835"/>
    <w:rsid w:val="00CF2A93"/>
    <w:rsid w:val="00CF3C7B"/>
    <w:rsid w:val="00CF41F0"/>
    <w:rsid w:val="00D06160"/>
    <w:rsid w:val="00D06F8D"/>
    <w:rsid w:val="00D074BF"/>
    <w:rsid w:val="00D11214"/>
    <w:rsid w:val="00D15323"/>
    <w:rsid w:val="00D21561"/>
    <w:rsid w:val="00D22DD6"/>
    <w:rsid w:val="00D251FD"/>
    <w:rsid w:val="00D2534F"/>
    <w:rsid w:val="00D2674D"/>
    <w:rsid w:val="00D302B9"/>
    <w:rsid w:val="00D30B5F"/>
    <w:rsid w:val="00D31FAF"/>
    <w:rsid w:val="00D40B1D"/>
    <w:rsid w:val="00D431C4"/>
    <w:rsid w:val="00D46E52"/>
    <w:rsid w:val="00D57882"/>
    <w:rsid w:val="00D62944"/>
    <w:rsid w:val="00D63A5B"/>
    <w:rsid w:val="00D66D62"/>
    <w:rsid w:val="00D702CF"/>
    <w:rsid w:val="00D71138"/>
    <w:rsid w:val="00D71179"/>
    <w:rsid w:val="00D719C6"/>
    <w:rsid w:val="00D75745"/>
    <w:rsid w:val="00D8104E"/>
    <w:rsid w:val="00D82568"/>
    <w:rsid w:val="00D85D06"/>
    <w:rsid w:val="00D958A0"/>
    <w:rsid w:val="00DA12D4"/>
    <w:rsid w:val="00DA3B2F"/>
    <w:rsid w:val="00DA6054"/>
    <w:rsid w:val="00DA751B"/>
    <w:rsid w:val="00DB0B7E"/>
    <w:rsid w:val="00DB388D"/>
    <w:rsid w:val="00DB51C0"/>
    <w:rsid w:val="00DC0064"/>
    <w:rsid w:val="00DC014F"/>
    <w:rsid w:val="00DC0225"/>
    <w:rsid w:val="00DC07B0"/>
    <w:rsid w:val="00DC4989"/>
    <w:rsid w:val="00DC5B72"/>
    <w:rsid w:val="00DC6B16"/>
    <w:rsid w:val="00DC737C"/>
    <w:rsid w:val="00DD01B2"/>
    <w:rsid w:val="00DD1F6E"/>
    <w:rsid w:val="00DD5102"/>
    <w:rsid w:val="00DE0139"/>
    <w:rsid w:val="00DE3306"/>
    <w:rsid w:val="00DE6058"/>
    <w:rsid w:val="00DF0A99"/>
    <w:rsid w:val="00DF1EEC"/>
    <w:rsid w:val="00DF76FA"/>
    <w:rsid w:val="00E00A51"/>
    <w:rsid w:val="00E05937"/>
    <w:rsid w:val="00E0647F"/>
    <w:rsid w:val="00E07169"/>
    <w:rsid w:val="00E10E71"/>
    <w:rsid w:val="00E13327"/>
    <w:rsid w:val="00E212FA"/>
    <w:rsid w:val="00E22856"/>
    <w:rsid w:val="00E27D57"/>
    <w:rsid w:val="00E349AC"/>
    <w:rsid w:val="00E369F7"/>
    <w:rsid w:val="00E36A4E"/>
    <w:rsid w:val="00E42307"/>
    <w:rsid w:val="00E43946"/>
    <w:rsid w:val="00E451C1"/>
    <w:rsid w:val="00E521CD"/>
    <w:rsid w:val="00E55E01"/>
    <w:rsid w:val="00E60D04"/>
    <w:rsid w:val="00E6277C"/>
    <w:rsid w:val="00E64628"/>
    <w:rsid w:val="00E673CF"/>
    <w:rsid w:val="00E706CF"/>
    <w:rsid w:val="00E72E82"/>
    <w:rsid w:val="00E759BD"/>
    <w:rsid w:val="00E97C6A"/>
    <w:rsid w:val="00EA042C"/>
    <w:rsid w:val="00EA076D"/>
    <w:rsid w:val="00EA1DEC"/>
    <w:rsid w:val="00EA23E5"/>
    <w:rsid w:val="00EB2BF0"/>
    <w:rsid w:val="00EB56F0"/>
    <w:rsid w:val="00EB6163"/>
    <w:rsid w:val="00EB62BE"/>
    <w:rsid w:val="00EC0A10"/>
    <w:rsid w:val="00EC0B9F"/>
    <w:rsid w:val="00EC3BE1"/>
    <w:rsid w:val="00EC4B2D"/>
    <w:rsid w:val="00EC50D1"/>
    <w:rsid w:val="00ED02A1"/>
    <w:rsid w:val="00ED22F7"/>
    <w:rsid w:val="00ED755F"/>
    <w:rsid w:val="00EE21F6"/>
    <w:rsid w:val="00EE5402"/>
    <w:rsid w:val="00EE5F75"/>
    <w:rsid w:val="00EE6276"/>
    <w:rsid w:val="00F05059"/>
    <w:rsid w:val="00F05559"/>
    <w:rsid w:val="00F101E7"/>
    <w:rsid w:val="00F118BE"/>
    <w:rsid w:val="00F13DD2"/>
    <w:rsid w:val="00F14EFD"/>
    <w:rsid w:val="00F15D42"/>
    <w:rsid w:val="00F2204E"/>
    <w:rsid w:val="00F3402C"/>
    <w:rsid w:val="00F37EB0"/>
    <w:rsid w:val="00F417A2"/>
    <w:rsid w:val="00F448D1"/>
    <w:rsid w:val="00F50CC4"/>
    <w:rsid w:val="00F527CF"/>
    <w:rsid w:val="00F645EA"/>
    <w:rsid w:val="00F656B7"/>
    <w:rsid w:val="00F656E8"/>
    <w:rsid w:val="00F67A9F"/>
    <w:rsid w:val="00F77170"/>
    <w:rsid w:val="00F81A8F"/>
    <w:rsid w:val="00F826AB"/>
    <w:rsid w:val="00F9529A"/>
    <w:rsid w:val="00FB252C"/>
    <w:rsid w:val="00FB29DF"/>
    <w:rsid w:val="00FB31D1"/>
    <w:rsid w:val="00FB6379"/>
    <w:rsid w:val="00FB6D58"/>
    <w:rsid w:val="00FC0C86"/>
    <w:rsid w:val="00FC15A5"/>
    <w:rsid w:val="00FC2397"/>
    <w:rsid w:val="00FC3236"/>
    <w:rsid w:val="00FC3677"/>
    <w:rsid w:val="00FC4633"/>
    <w:rsid w:val="00FC57E7"/>
    <w:rsid w:val="00FC5B5F"/>
    <w:rsid w:val="00FC7A15"/>
    <w:rsid w:val="00FC7BBB"/>
    <w:rsid w:val="00FD0BAE"/>
    <w:rsid w:val="00FD43AA"/>
    <w:rsid w:val="00FD7F7E"/>
    <w:rsid w:val="00FE0789"/>
    <w:rsid w:val="00FE5389"/>
    <w:rsid w:val="00FF042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938e08839465e82e2c30c3bd4a359ce2&amp;node=pt45.1.164&amp;rgn=div5%23se45.1.164_140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hr@drummondgroup.com" TargetMode="External"/><Relationship Id="rId4" Type="http://schemas.openxmlformats.org/officeDocument/2006/relationships/settings" Target="settings.xml"/><Relationship Id="rId9" Type="http://schemas.openxmlformats.org/officeDocument/2006/relationships/hyperlink" Target="http://www.drummondgroup.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AC9E4-2473-40DE-9E55-3C681E59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10890</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2016-03-01T18:25:00Z</dcterms:created>
  <dcterms:modified xsi:type="dcterms:W3CDTF">2016-03-03T19:43:00Z</dcterms:modified>
</cp:coreProperties>
</file>