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7B5D79" w:rsidRPr="00907F84">
        <w:rPr>
          <w:sz w:val="28"/>
          <w:szCs w:val="28"/>
        </w:rPr>
        <w:t xml:space="preserve">1 – </w:t>
      </w:r>
      <w:r w:rsidR="00907F84" w:rsidRPr="00907F84">
        <w:rPr>
          <w:sz w:val="28"/>
          <w:szCs w:val="28"/>
        </w:rPr>
        <w:t>Transmission to Immunization Registries</w:t>
      </w:r>
    </w:p>
    <w:p w:rsidR="00866865" w:rsidRDefault="00866865" w:rsidP="00866865"/>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31"/>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AB592F" w:rsidRPr="00DC0225" w:rsidRDefault="00AB592F" w:rsidP="00AB592F">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50"/>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r w:rsidR="00AB592F" w:rsidTr="00DC0225">
        <w:trPr>
          <w:trHeight w:val="313"/>
        </w:trPr>
        <w:tc>
          <w:tcPr>
            <w:tcW w:w="4045" w:type="dxa"/>
            <w:shd w:val="clear" w:color="auto" w:fill="FFFFFF" w:themeFill="background1"/>
          </w:tcPr>
          <w:p w:rsidR="00AB592F" w:rsidRPr="00DC0225" w:rsidRDefault="00AB592F" w:rsidP="00AB592F">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AB592F" w:rsidRPr="00DC0225" w:rsidRDefault="00AB592F" w:rsidP="00AB592F">
            <w:pPr>
              <w:rPr>
                <w:rFonts w:ascii="Leelawadee UI" w:hAnsi="Leelawadee UI" w:cs="Leelawadee UI"/>
              </w:rPr>
            </w:pPr>
          </w:p>
        </w:tc>
      </w:tr>
    </w:tbl>
    <w:p w:rsidR="00FD7F7E" w:rsidRDefault="00FD7F7E" w:rsidP="00FD7F7E"/>
    <w:p w:rsidR="00A32C70" w:rsidRDefault="00A32C70" w:rsidP="00A32C70">
      <w:pPr>
        <w:pStyle w:val="Heading3"/>
      </w:pPr>
      <w:r>
        <w:t>Overview</w:t>
      </w:r>
    </w:p>
    <w:p w:rsidR="00A32C70" w:rsidRDefault="00A32C70" w:rsidP="00A32C70">
      <w:r>
        <w:t>In this document you will find:</w:t>
      </w:r>
    </w:p>
    <w:p w:rsidR="00A32C70" w:rsidRDefault="00211777" w:rsidP="00A32C70">
      <w:pPr>
        <w:pStyle w:val="ListParagraph"/>
        <w:numPr>
          <w:ilvl w:val="0"/>
          <w:numId w:val="41"/>
        </w:numPr>
      </w:pPr>
      <w:hyperlink w:anchor="_Test_Data_and_1" w:history="1">
        <w:r w:rsidR="00A32C70" w:rsidRPr="005A3B80">
          <w:rPr>
            <w:rStyle w:val="Hyperlink"/>
          </w:rPr>
          <w:t>Test Data and Test Tools</w:t>
        </w:r>
      </w:hyperlink>
    </w:p>
    <w:p w:rsidR="00A32C70" w:rsidRDefault="00211777" w:rsidP="00A32C70">
      <w:pPr>
        <w:pStyle w:val="ListParagraph"/>
        <w:numPr>
          <w:ilvl w:val="0"/>
          <w:numId w:val="41"/>
        </w:numPr>
      </w:pPr>
      <w:hyperlink w:anchor="_Demonstrate_Standards_Support" w:history="1">
        <w:r w:rsidR="00A32C70" w:rsidRPr="005A3B80">
          <w:rPr>
            <w:rStyle w:val="Hyperlink"/>
          </w:rPr>
          <w:t>Standards Support</w:t>
        </w:r>
      </w:hyperlink>
    </w:p>
    <w:p w:rsidR="00A32C70" w:rsidRDefault="00211777" w:rsidP="00A32C70">
      <w:pPr>
        <w:pStyle w:val="ListParagraph"/>
        <w:numPr>
          <w:ilvl w:val="0"/>
          <w:numId w:val="41"/>
        </w:numPr>
      </w:pPr>
      <w:hyperlink w:anchor="_170.315(f)(1)-Transmission_to_Immun" w:history="1">
        <w:r w:rsidR="00A32C70" w:rsidRPr="005A3B80">
          <w:rPr>
            <w:rStyle w:val="Hyperlink"/>
          </w:rPr>
          <w:t>Drummond Test Report (Instructions, Expected Results, Points to Remember)</w:t>
        </w:r>
      </w:hyperlink>
    </w:p>
    <w:p w:rsidR="00A32C70" w:rsidRPr="000C22C3" w:rsidRDefault="00211777" w:rsidP="00A32C70">
      <w:pPr>
        <w:pStyle w:val="ListParagraph"/>
        <w:numPr>
          <w:ilvl w:val="0"/>
          <w:numId w:val="41"/>
        </w:numPr>
        <w:rPr>
          <w:rStyle w:val="Hyperlink"/>
          <w:color w:val="auto"/>
          <w:u w:val="none"/>
        </w:rPr>
      </w:pPr>
      <w:hyperlink w:anchor="_1.1_Create_immunization" w:history="1">
        <w:r w:rsidR="00A32C70" w:rsidRPr="005A3B80">
          <w:rPr>
            <w:rStyle w:val="Hyperlink"/>
          </w:rPr>
          <w:t>Test Procedures</w:t>
        </w:r>
      </w:hyperlink>
    </w:p>
    <w:p w:rsidR="00A32C70" w:rsidRPr="000C22C3" w:rsidRDefault="00211777" w:rsidP="00A32C70">
      <w:pPr>
        <w:pStyle w:val="ListParagraph"/>
        <w:numPr>
          <w:ilvl w:val="0"/>
          <w:numId w:val="41"/>
        </w:numPr>
        <w:rPr>
          <w:rStyle w:val="Hyperlink"/>
          <w:color w:val="auto"/>
          <w:u w:val="none"/>
        </w:rPr>
      </w:pPr>
      <w:hyperlink w:anchor="_Appendix_A:_Testing" w:history="1">
        <w:r w:rsidR="00A32C70" w:rsidRPr="000C22C3">
          <w:rPr>
            <w:rStyle w:val="Hyperlink"/>
          </w:rPr>
          <w:t>Appendix A: Testing Guide</w:t>
        </w:r>
      </w:hyperlink>
    </w:p>
    <w:p w:rsidR="00A32C70" w:rsidRPr="005A3B80" w:rsidRDefault="00211777" w:rsidP="00A32C70">
      <w:pPr>
        <w:pStyle w:val="ListParagraph"/>
        <w:numPr>
          <w:ilvl w:val="0"/>
          <w:numId w:val="41"/>
        </w:numPr>
      </w:pPr>
      <w:hyperlink w:anchor="_Appendix_B:_ONC" w:history="1">
        <w:r w:rsidR="00A32C70" w:rsidRPr="000C22C3">
          <w:rPr>
            <w:rStyle w:val="Hyperlink"/>
          </w:rPr>
          <w:t>Appendix B: ONC Criteria</w:t>
        </w:r>
      </w:hyperlink>
    </w:p>
    <w:p w:rsidR="00A32C70" w:rsidRDefault="00A32C70" w:rsidP="00FD7F7E"/>
    <w:p w:rsidR="009D5A77" w:rsidRDefault="009D5A77" w:rsidP="009D5A77">
      <w:pPr>
        <w:pStyle w:val="Heading3"/>
      </w:pPr>
      <w:bookmarkStart w:id="0" w:name="_Toc432066403"/>
      <w:r w:rsidRPr="00EA50E7">
        <w:t>Version of ONC Test Method</w:t>
      </w:r>
      <w:bookmarkEnd w:id="0"/>
    </w:p>
    <w:p w:rsidR="009D5A77" w:rsidRDefault="00186010" w:rsidP="009D5A77">
      <w:pPr>
        <w:ind w:left="720"/>
      </w:pPr>
      <w:r>
        <w:t>1.1</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22828">
        <w:t>Health IT Developer</w:t>
      </w:r>
      <w:r w:rsidR="007902A0">
        <w:t xml:space="preserve"> or Participant </w:t>
      </w:r>
      <w:r w:rsidR="002342CF">
        <w:t>under</w:t>
      </w:r>
      <w:r w:rsidR="00691FA6">
        <w:t xml:space="preserve"> T</w:t>
      </w:r>
      <w:r>
        <w: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15B9" w:rsidRDefault="00FD15B9">
      <w:pPr>
        <w:rPr>
          <w:rFonts w:ascii="Arial" w:hAnsi="Arial" w:cs="Arial"/>
          <w:b/>
          <w:bCs/>
          <w:kern w:val="32"/>
          <w:sz w:val="32"/>
          <w:szCs w:val="32"/>
        </w:rPr>
      </w:pPr>
      <w:bookmarkStart w:id="3" w:name="_Test_Data_and"/>
      <w:bookmarkStart w:id="4" w:name="OLE_LINK1"/>
      <w:bookmarkEnd w:id="2"/>
      <w:bookmarkEnd w:id="3"/>
      <w:r>
        <w:br w:type="page"/>
      </w:r>
    </w:p>
    <w:p w:rsidR="009D5A77" w:rsidRDefault="009D5A77" w:rsidP="00257318">
      <w:pPr>
        <w:pStyle w:val="Heading1"/>
        <w:ind w:hanging="90"/>
      </w:pPr>
      <w:bookmarkStart w:id="5" w:name="_Test_Data_and_1"/>
      <w:bookmarkEnd w:id="5"/>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C22828">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C22828">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E842CE" w:rsidRDefault="00E842CE" w:rsidP="00E842CE">
            <w:pPr>
              <w:pStyle w:val="ListParagraph"/>
              <w:rPr>
                <w:rFonts w:ascii="Leelawadee UI" w:hAnsi="Leelawadee UI" w:cs="Leelawadee UI"/>
              </w:rPr>
            </w:pPr>
            <w:r>
              <w:rPr>
                <w:rFonts w:ascii="Leelawadee UI" w:hAnsi="Leelawadee UI" w:cs="Leelawadee UI"/>
              </w:rPr>
              <w:t xml:space="preserve">Health IT developer </w:t>
            </w:r>
            <w:r w:rsidR="0048258F">
              <w:rPr>
                <w:rFonts w:ascii="Leelawadee UI" w:hAnsi="Leelawadee UI" w:cs="Leelawadee UI"/>
              </w:rPr>
              <w:t>pre-load</w:t>
            </w:r>
            <w:r>
              <w:rPr>
                <w:rFonts w:ascii="Leelawadee UI" w:hAnsi="Leelawadee UI" w:cs="Leelawadee UI"/>
              </w:rPr>
              <w:t>s</w:t>
            </w:r>
            <w:r w:rsidR="00EA7852">
              <w:rPr>
                <w:rFonts w:ascii="Leelawadee UI" w:hAnsi="Leelawadee UI" w:cs="Leelawadee UI"/>
              </w:rPr>
              <w:t xml:space="preserve"> test data from the </w:t>
            </w:r>
            <w:hyperlink r:id="rId8" w:anchor="/home" w:history="1">
              <w:r w:rsidR="00EA7852">
                <w:rPr>
                  <w:rStyle w:val="Hyperlink"/>
                  <w:rFonts w:ascii="Leelawadee UI" w:hAnsi="Leelawadee UI" w:cs="Leelawadee UI"/>
                </w:rPr>
                <w:t>NIST HL7 v2 Immunization Test Suite</w:t>
              </w:r>
            </w:hyperlink>
            <w:r>
              <w:rPr>
                <w:rFonts w:ascii="Leelawadee UI" w:hAnsi="Leelawadee UI" w:cs="Leelawadee UI"/>
              </w:rPr>
              <w:t>:</w:t>
            </w:r>
            <w:r w:rsidR="00FF4F7F">
              <w:rPr>
                <w:rFonts w:ascii="Leelawadee UI" w:hAnsi="Leelawadee UI" w:cs="Leelawadee UI"/>
              </w:rPr>
              <w:t xml:space="preserve"> </w:t>
            </w:r>
          </w:p>
          <w:p w:rsidR="009D5A77" w:rsidRDefault="004B404D" w:rsidP="00E842CE">
            <w:pPr>
              <w:pStyle w:val="ListParagraph"/>
              <w:numPr>
                <w:ilvl w:val="0"/>
                <w:numId w:val="42"/>
              </w:numPr>
              <w:rPr>
                <w:rFonts w:ascii="Leelawadee UI" w:hAnsi="Leelawadee UI" w:cs="Leelawadee UI"/>
              </w:rPr>
            </w:pPr>
            <w:r>
              <w:rPr>
                <w:rFonts w:ascii="Leelawadee UI" w:hAnsi="Leelawadee UI" w:cs="Leelawadee UI"/>
              </w:rPr>
              <w:t>Eight (</w:t>
            </w:r>
            <w:r w:rsidR="00307934">
              <w:rPr>
                <w:rFonts w:ascii="Leelawadee UI" w:hAnsi="Leelawadee UI" w:cs="Leelawadee UI"/>
              </w:rPr>
              <w:t>8</w:t>
            </w:r>
            <w:r>
              <w:rPr>
                <w:rFonts w:ascii="Leelawadee UI" w:hAnsi="Leelawadee UI" w:cs="Leelawadee UI"/>
              </w:rPr>
              <w:t>)</w:t>
            </w:r>
            <w:r w:rsidR="00586597">
              <w:rPr>
                <w:rFonts w:ascii="Leelawadee UI" w:hAnsi="Leelawadee UI" w:cs="Leelawadee UI"/>
              </w:rPr>
              <w:t xml:space="preserve"> test patients </w:t>
            </w:r>
            <w:r w:rsidR="00FF4F7F">
              <w:rPr>
                <w:rFonts w:ascii="Leelawadee UI" w:hAnsi="Leelawadee UI" w:cs="Leelawadee UI"/>
              </w:rPr>
              <w:t>using</w:t>
            </w:r>
            <w:r w:rsidR="00586597">
              <w:rPr>
                <w:rFonts w:ascii="Leelawadee UI" w:hAnsi="Leelawadee UI" w:cs="Leelawadee UI"/>
              </w:rPr>
              <w:t xml:space="preserve"> demographics and immunization </w:t>
            </w:r>
            <w:r w:rsidR="00FF4F7F">
              <w:rPr>
                <w:rFonts w:ascii="Leelawadee UI" w:hAnsi="Leelawadee UI" w:cs="Leelawadee UI"/>
              </w:rPr>
              <w:t xml:space="preserve">test </w:t>
            </w:r>
            <w:r w:rsidR="00586597">
              <w:rPr>
                <w:rFonts w:ascii="Leelawadee UI" w:hAnsi="Leelawadee UI" w:cs="Leelawadee UI"/>
              </w:rPr>
              <w:t xml:space="preserve">data </w:t>
            </w:r>
            <w:r>
              <w:rPr>
                <w:rFonts w:ascii="Leelawadee UI" w:hAnsi="Leelawadee UI" w:cs="Leelawadee UI"/>
              </w:rPr>
              <w:t xml:space="preserve">from the ten (10) cases </w:t>
            </w:r>
            <w:r w:rsidR="00FF4F7F">
              <w:rPr>
                <w:rFonts w:ascii="Leelawadee UI" w:hAnsi="Leelawadee UI" w:cs="Leelawadee UI"/>
              </w:rPr>
              <w:t>under “Administration Group”</w:t>
            </w:r>
          </w:p>
          <w:p w:rsidR="00586597" w:rsidRPr="00EE7D84" w:rsidRDefault="004B404D" w:rsidP="00EA7852">
            <w:pPr>
              <w:pStyle w:val="ListParagraph"/>
              <w:numPr>
                <w:ilvl w:val="0"/>
                <w:numId w:val="28"/>
              </w:numPr>
              <w:ind w:left="1422"/>
              <w:rPr>
                <w:rFonts w:ascii="Leelawadee UI" w:hAnsi="Leelawadee UI" w:cs="Leelawadee UI"/>
              </w:rPr>
            </w:pPr>
            <w:r>
              <w:rPr>
                <w:rFonts w:ascii="Leelawadee UI" w:hAnsi="Leelawadee UI" w:cs="Leelawadee UI"/>
              </w:rPr>
              <w:t>Four (</w:t>
            </w:r>
            <w:r w:rsidR="00586597">
              <w:rPr>
                <w:rFonts w:ascii="Leelawadee UI" w:hAnsi="Leelawadee UI" w:cs="Leelawadee UI"/>
              </w:rPr>
              <w:t>4</w:t>
            </w:r>
            <w:r>
              <w:rPr>
                <w:rFonts w:ascii="Leelawadee UI" w:hAnsi="Leelawadee UI" w:cs="Leelawadee UI"/>
              </w:rPr>
              <w:t>)</w:t>
            </w:r>
            <w:r w:rsidR="00586597">
              <w:rPr>
                <w:rFonts w:ascii="Leelawadee UI" w:hAnsi="Leelawadee UI" w:cs="Leelawadee UI"/>
              </w:rPr>
              <w:t xml:space="preserve"> test patients </w:t>
            </w:r>
            <w:r w:rsidR="00FF4F7F">
              <w:rPr>
                <w:rFonts w:ascii="Leelawadee UI" w:hAnsi="Leelawadee UI" w:cs="Leelawadee UI"/>
              </w:rPr>
              <w:t>using</w:t>
            </w:r>
            <w:r w:rsidR="00586597">
              <w:rPr>
                <w:rFonts w:ascii="Leelawadee UI" w:hAnsi="Leelawadee UI" w:cs="Leelawadee UI"/>
              </w:rPr>
              <w:t xml:space="preserve"> demographics</w:t>
            </w:r>
            <w:r w:rsidR="00FF4F7F">
              <w:rPr>
                <w:rFonts w:ascii="Leelawadee UI" w:hAnsi="Leelawadee UI" w:cs="Leelawadee UI"/>
              </w:rPr>
              <w:t xml:space="preserve"> test data </w:t>
            </w:r>
            <w:r w:rsidR="00586597">
              <w:rPr>
                <w:rFonts w:ascii="Leelawadee UI" w:hAnsi="Leelawadee UI" w:cs="Leelawadee UI"/>
              </w:rPr>
              <w:t>under “Evalua</w:t>
            </w:r>
            <w:r w:rsidR="00FF4F7F">
              <w:rPr>
                <w:rFonts w:ascii="Leelawadee UI" w:hAnsi="Leelawadee UI" w:cs="Leelawadee UI"/>
              </w:rPr>
              <w:t>ted History and Forecast Group”</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586597" w:rsidRDefault="00090059" w:rsidP="00231CBE">
            <w:pPr>
              <w:pStyle w:val="ListParagraph"/>
              <w:rPr>
                <w:rFonts w:ascii="Leelawadee UI" w:hAnsi="Leelawadee UI" w:cs="Leelawadee UI"/>
              </w:rPr>
            </w:pPr>
            <w:r w:rsidRPr="00586597">
              <w:rPr>
                <w:rFonts w:ascii="Leelawadee UI" w:hAnsi="Leelawadee UI" w:cs="Leelawadee UI"/>
              </w:rPr>
              <w:t>All NIST test cases are required</w:t>
            </w:r>
            <w:r w:rsidR="00A95237">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5C523F" w:rsidRPr="00D50410" w:rsidRDefault="00211777" w:rsidP="00231CBE">
            <w:pPr>
              <w:pStyle w:val="ListParagraph"/>
              <w:rPr>
                <w:rFonts w:ascii="Leelawadee UI" w:hAnsi="Leelawadee UI" w:cs="Leelawadee UI"/>
              </w:rPr>
            </w:pPr>
            <w:hyperlink r:id="rId9" w:anchor="/home" w:history="1">
              <w:r w:rsidR="00401F00">
                <w:rPr>
                  <w:rStyle w:val="Hyperlink"/>
                  <w:rFonts w:ascii="Leelawadee UI" w:hAnsi="Leelawadee UI" w:cs="Leelawadee UI"/>
                </w:rPr>
                <w:t>NIST HL7 v2 Immunization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6" w:name="_Demonstrate_Standards_Support"/>
      <w:bookmarkEnd w:id="6"/>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rsidRPr="004544CB">
              <w:rPr>
                <w:rFonts w:ascii="Leelawadee UI" w:hAnsi="Leelawadee UI" w:cs="Leelawadee UI"/>
              </w:rPr>
              <w:t xml:space="preserve"> </w:t>
            </w:r>
            <w:r w:rsidR="004544CB" w:rsidRPr="004544CB">
              <w:rPr>
                <w:rFonts w:ascii="Leelawadee UI" w:hAnsi="Leelawadee UI" w:cs="Leelawadee UI"/>
              </w:rPr>
              <w:t>Implement standards below for immunization content.</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BB3A5A" w:rsidP="00BB3A5A">
            <w:r>
              <w:t>§170.205(e)(4</w:t>
            </w:r>
            <w:r w:rsidR="0071362D">
              <w:t>)</w:t>
            </w:r>
          </w:p>
        </w:tc>
        <w:tc>
          <w:tcPr>
            <w:tcW w:w="5490" w:type="dxa"/>
          </w:tcPr>
          <w:p w:rsidR="00615170" w:rsidRDefault="00BB3A5A" w:rsidP="00BB3A5A">
            <w:r>
              <w:t>HL7 2.5.1 Implementation Guide for Immunization Messaging, Release 1.5, October 2014; and HL7 Version 2.5.1 Implementation Guide for Immunization Messaging (Release 1.5) – Addendum, July 2015.</w:t>
            </w:r>
          </w:p>
        </w:tc>
      </w:tr>
      <w:tr w:rsidR="00BB3A5A" w:rsidTr="00BB3A5A">
        <w:trPr>
          <w:trHeight w:val="530"/>
        </w:trPr>
        <w:sdt>
          <w:sdtPr>
            <w:id w:val="-2068024801"/>
            <w14:checkbox>
              <w14:checked w14:val="0"/>
              <w14:checkedState w14:val="2612" w14:font="Arial Unicode MS"/>
              <w14:uncheckedState w14:val="2610" w14:font="Arial Unicode MS"/>
            </w14:checkbox>
          </w:sdtPr>
          <w:sdtEndPr/>
          <w:sdtContent>
            <w:tc>
              <w:tcPr>
                <w:tcW w:w="457" w:type="dxa"/>
              </w:tcPr>
              <w:p w:rsidR="00BB3A5A" w:rsidRDefault="00BB3A5A" w:rsidP="00BB3A5A">
                <w:r>
                  <w:rPr>
                    <w:rFonts w:ascii="MS Gothic" w:eastAsia="MS Gothic" w:hAnsi="MS Gothic" w:hint="eastAsia"/>
                  </w:rPr>
                  <w:t>☐</w:t>
                </w:r>
              </w:p>
            </w:tc>
          </w:sdtContent>
        </w:sdt>
        <w:tc>
          <w:tcPr>
            <w:tcW w:w="2688" w:type="dxa"/>
          </w:tcPr>
          <w:p w:rsidR="00BB3A5A" w:rsidRDefault="00BB3A5A" w:rsidP="00BB3A5A">
            <w:r>
              <w:t>§170.207(e)(3)</w:t>
            </w:r>
          </w:p>
        </w:tc>
        <w:tc>
          <w:tcPr>
            <w:tcW w:w="5490" w:type="dxa"/>
          </w:tcPr>
          <w:p w:rsidR="00BB3A5A" w:rsidRDefault="00BB3A5A" w:rsidP="00BB3A5A">
            <w:r>
              <w:t>HL7 Standard Code Set CVX – Vaccines Administered, updates through August 17, 2015.</w:t>
            </w:r>
          </w:p>
        </w:tc>
      </w:tr>
      <w:tr w:rsidR="00BB3A5A" w:rsidTr="00BB3A5A">
        <w:trPr>
          <w:trHeight w:val="530"/>
        </w:trPr>
        <w:sdt>
          <w:sdtPr>
            <w:id w:val="705681142"/>
            <w14:checkbox>
              <w14:checked w14:val="0"/>
              <w14:checkedState w14:val="2612" w14:font="Arial Unicode MS"/>
              <w14:uncheckedState w14:val="2610" w14:font="Arial Unicode MS"/>
            </w14:checkbox>
          </w:sdtPr>
          <w:sdtEndPr/>
          <w:sdtContent>
            <w:tc>
              <w:tcPr>
                <w:tcW w:w="457" w:type="dxa"/>
              </w:tcPr>
              <w:p w:rsidR="00BB3A5A" w:rsidRDefault="00BB3A5A" w:rsidP="00BB3A5A">
                <w:r>
                  <w:rPr>
                    <w:rFonts w:ascii="MS Gothic" w:eastAsia="MS Gothic" w:hAnsi="MS Gothic" w:hint="eastAsia"/>
                  </w:rPr>
                  <w:t>☐</w:t>
                </w:r>
              </w:p>
            </w:tc>
          </w:sdtContent>
        </w:sdt>
        <w:tc>
          <w:tcPr>
            <w:tcW w:w="2688" w:type="dxa"/>
          </w:tcPr>
          <w:p w:rsidR="00BB3A5A" w:rsidRDefault="00BB3A5A" w:rsidP="00BB3A5A">
            <w:r>
              <w:t>§170.207(e)(4)</w:t>
            </w:r>
          </w:p>
        </w:tc>
        <w:tc>
          <w:tcPr>
            <w:tcW w:w="5490" w:type="dxa"/>
          </w:tcPr>
          <w:p w:rsidR="00BB3A5A" w:rsidRDefault="00BB3A5A" w:rsidP="00BB3A5A">
            <w:r>
              <w:t>National Drug Code Directory – Vaccine Codes, updates through August 17, 2015.</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362E3C" w:rsidRDefault="00090059" w:rsidP="00FD7F7E">
      <w:pPr>
        <w:pStyle w:val="Heading1"/>
      </w:pPr>
      <w:bookmarkStart w:id="7" w:name="_170.315(f)(1)-Transmission_to_Immun"/>
      <w:bookmarkEnd w:id="7"/>
      <w:r>
        <w:lastRenderedPageBreak/>
        <w:t>170.315(f</w:t>
      </w:r>
      <w:proofErr w:type="gramStart"/>
      <w:r>
        <w:t>)(</w:t>
      </w:r>
      <w:proofErr w:type="gramEnd"/>
      <w:r>
        <w:t>1</w:t>
      </w:r>
      <w:r w:rsidR="00FD7F7E">
        <w:t>)-</w:t>
      </w:r>
      <w:r>
        <w:t>Transmission to Immunization Registries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090059">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immunization information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247B1D" w:rsidRPr="00247B1D" w:rsidRDefault="00247B1D" w:rsidP="004748BF">
            <w:pPr>
              <w:rPr>
                <w:rFonts w:ascii="Leelawadee UI" w:hAnsi="Leelawadee UI" w:cs="Leelawadee UI"/>
              </w:rPr>
            </w:pPr>
            <w:r w:rsidRPr="00247B1D">
              <w:t>Health IT module must:</w:t>
            </w:r>
          </w:p>
          <w:p w:rsidR="00245080" w:rsidRPr="00247B1D" w:rsidRDefault="00247B1D" w:rsidP="00F0572E">
            <w:pPr>
              <w:numPr>
                <w:ilvl w:val="0"/>
                <w:numId w:val="27"/>
              </w:numPr>
              <w:rPr>
                <w:rFonts w:ascii="Leelawadee UI" w:hAnsi="Leelawadee UI" w:cs="Leelawadee UI"/>
                <w:b/>
              </w:rPr>
            </w:pPr>
            <w:r>
              <w:t xml:space="preserve">Record </w:t>
            </w:r>
            <w:r w:rsidR="00A218E9">
              <w:t xml:space="preserve">immunization content and </w:t>
            </w:r>
            <w:r w:rsidR="00090059">
              <w:t>generate the HL7 v2.5.1 Z22 VXU immunization information message</w:t>
            </w:r>
            <w:r w:rsidR="00A218E9">
              <w:t>s</w:t>
            </w:r>
          </w:p>
          <w:p w:rsidR="00090059" w:rsidRPr="00247B1D" w:rsidRDefault="00247B1D" w:rsidP="00A1695A">
            <w:pPr>
              <w:numPr>
                <w:ilvl w:val="0"/>
                <w:numId w:val="27"/>
              </w:numPr>
              <w:rPr>
                <w:rFonts w:ascii="Leelawadee UI" w:hAnsi="Leelawadee UI" w:cs="Leelawadee UI"/>
                <w:b/>
              </w:rPr>
            </w:pPr>
            <w:r>
              <w:t xml:space="preserve">Consume </w:t>
            </w:r>
            <w:r w:rsidR="00090059">
              <w:t xml:space="preserve">the associated acknowledgement </w:t>
            </w:r>
            <w:r w:rsidR="00A218E9">
              <w:t xml:space="preserve">(ACK) </w:t>
            </w:r>
            <w:r w:rsidR="00090059">
              <w:t>message</w:t>
            </w:r>
            <w:r w:rsidR="00A218E9">
              <w:t>s</w:t>
            </w:r>
            <w:r w:rsidR="00090059">
              <w:t xml:space="preserve"> according to the </w:t>
            </w:r>
            <w:r w:rsidR="00A92B2A">
              <w:t>§170.205(e)(4</w:t>
            </w:r>
            <w:r>
              <w:t>) HL7 v2.5.1 Immunization Guide</w:t>
            </w:r>
          </w:p>
          <w:p w:rsidR="00247B1D" w:rsidRPr="00247B1D" w:rsidRDefault="004B364F" w:rsidP="00A1695A">
            <w:pPr>
              <w:numPr>
                <w:ilvl w:val="0"/>
                <w:numId w:val="27"/>
              </w:numPr>
              <w:rPr>
                <w:rFonts w:ascii="Leelawadee UI" w:hAnsi="Leelawadee UI" w:cs="Leelawadee UI"/>
                <w:b/>
              </w:rPr>
            </w:pPr>
            <w:r>
              <w:t>Generat</w:t>
            </w:r>
            <w:r w:rsidR="00247B1D">
              <w:t>e</w:t>
            </w:r>
            <w:r w:rsidR="00A218E9">
              <w:t xml:space="preserve"> evaluated</w:t>
            </w:r>
            <w:r w:rsidR="00247B1D">
              <w:t xml:space="preserve"> immunization </w:t>
            </w:r>
            <w:r w:rsidR="00A218E9">
              <w:t>history and forecast query messages</w:t>
            </w:r>
          </w:p>
          <w:p w:rsidR="00247B1D" w:rsidRPr="00247B1D" w:rsidRDefault="00A218E9" w:rsidP="00247B1D">
            <w:pPr>
              <w:numPr>
                <w:ilvl w:val="0"/>
                <w:numId w:val="27"/>
              </w:numPr>
              <w:rPr>
                <w:rFonts w:ascii="Leelawadee UI" w:hAnsi="Leelawadee UI" w:cs="Leelawadee UI"/>
                <w:b/>
              </w:rPr>
            </w:pPr>
            <w:r>
              <w:t xml:space="preserve">Receive and display </w:t>
            </w:r>
            <w:r w:rsidR="00247B1D">
              <w:t xml:space="preserve">HL7 evaluated immunization history and forecast </w:t>
            </w:r>
            <w:r w:rsidR="003737F0">
              <w:t>response</w:t>
            </w:r>
          </w:p>
          <w:p w:rsidR="00A92B2A" w:rsidRPr="00A92B2A" w:rsidRDefault="00247B1D" w:rsidP="00A1695A">
            <w:pPr>
              <w:numPr>
                <w:ilvl w:val="0"/>
                <w:numId w:val="27"/>
              </w:numPr>
              <w:rPr>
                <w:rFonts w:ascii="Leelawadee UI" w:hAnsi="Leelawadee UI" w:cs="Leelawadee UI"/>
                <w:b/>
              </w:rPr>
            </w:pPr>
            <w:r>
              <w:t xml:space="preserve">Support </w:t>
            </w:r>
            <w:r w:rsidR="00A92B2A">
              <w:t>§170.207(e)(3) CVX codes</w:t>
            </w:r>
            <w:r w:rsidR="00DB1CB2">
              <w:t xml:space="preserve"> for historical vaccines</w:t>
            </w:r>
          </w:p>
          <w:p w:rsidR="00A92B2A" w:rsidRPr="00DB1CB2" w:rsidRDefault="00247B1D" w:rsidP="00A1695A">
            <w:pPr>
              <w:numPr>
                <w:ilvl w:val="0"/>
                <w:numId w:val="27"/>
              </w:numPr>
              <w:rPr>
                <w:rFonts w:ascii="Leelawadee UI" w:hAnsi="Leelawadee UI" w:cs="Leelawadee UI"/>
                <w:b/>
              </w:rPr>
            </w:pPr>
            <w:r>
              <w:t>Support</w:t>
            </w:r>
            <w:r w:rsidR="00A92B2A">
              <w:t xml:space="preserve"> §170.207(e)(4) National Drug Code Directory – vaccine codes</w:t>
            </w:r>
            <w:r w:rsidR="004B364F">
              <w:t xml:space="preserve"> for administered vaccines</w:t>
            </w:r>
          </w:p>
          <w:p w:rsidR="00DB1CB2" w:rsidRPr="00E54E81" w:rsidRDefault="00DB1CB2" w:rsidP="00A1695A">
            <w:pPr>
              <w:numPr>
                <w:ilvl w:val="0"/>
                <w:numId w:val="27"/>
              </w:numPr>
              <w:rPr>
                <w:rFonts w:ascii="Leelawadee UI" w:hAnsi="Leelawadee UI" w:cs="Leelawadee UI"/>
                <w:b/>
              </w:rPr>
            </w:pPr>
            <w:r>
              <w:t>Compliance to the CDC-defined NIP003-Immunization Information Source value set specified in §170.205(e)(4</w:t>
            </w:r>
            <w:r w:rsidR="004B364F">
              <w:t>) HL7 v2.5.1 Immunization Guide</w:t>
            </w:r>
          </w:p>
          <w:p w:rsidR="00A92B2A" w:rsidRPr="00255DC9" w:rsidRDefault="004B364F" w:rsidP="00247B1D">
            <w:pPr>
              <w:numPr>
                <w:ilvl w:val="0"/>
                <w:numId w:val="27"/>
              </w:numPr>
              <w:rPr>
                <w:rFonts w:ascii="Leelawadee UI" w:hAnsi="Leelawadee UI" w:cs="Leelawadee UI"/>
                <w:b/>
              </w:rPr>
            </w:pPr>
            <w:r>
              <w:t>Additional</w:t>
            </w:r>
            <w:r w:rsidR="00E54E81">
              <w:t xml:space="preserve"> value set from the §170.205(e)(4) HL7 v2.5.1 Immunization Guide to be selected and </w:t>
            </w:r>
            <w:r w:rsidR="006B35C5">
              <w:t>inspected</w:t>
            </w:r>
            <w:r w:rsidR="00E54E81">
              <w:t xml:space="preserve"> by Proctor</w:t>
            </w:r>
            <w:r w:rsidR="00247B1D">
              <w:t xml:space="preserve"> to verify compliance</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373A76" w:rsidRDefault="005076D1" w:rsidP="00373A76">
            <w:pPr>
              <w:numPr>
                <w:ilvl w:val="0"/>
                <w:numId w:val="30"/>
              </w:numPr>
              <w:rPr>
                <w:rFonts w:ascii="Leelawadee UI" w:hAnsi="Leelawadee UI" w:cs="Leelawadee UI"/>
                <w:b/>
              </w:rPr>
            </w:pPr>
            <w:r>
              <w:t xml:space="preserve"> </w:t>
            </w:r>
            <w:r w:rsidR="00373A76">
              <w:t xml:space="preserve">Within the </w:t>
            </w:r>
            <w:hyperlink r:id="rId10" w:anchor="/home" w:history="1">
              <w:r w:rsidR="00373A76" w:rsidRPr="00373A76">
                <w:rPr>
                  <w:rStyle w:val="Hyperlink"/>
                  <w:rFonts w:ascii="Leelawadee UI" w:hAnsi="Leelawadee UI" w:cs="Leelawadee UI"/>
                  <w:sz w:val="22"/>
                  <w:szCs w:val="22"/>
                </w:rPr>
                <w:t>NIST HL7 v2 Immunization Test Suite</w:t>
              </w:r>
            </w:hyperlink>
            <w:r w:rsidR="00373A76">
              <w:t>:</w:t>
            </w:r>
          </w:p>
          <w:p w:rsidR="00D110AC" w:rsidRDefault="00971B13" w:rsidP="00971B13">
            <w:pPr>
              <w:pStyle w:val="ListParagraph"/>
              <w:numPr>
                <w:ilvl w:val="0"/>
                <w:numId w:val="38"/>
              </w:numPr>
              <w:tabs>
                <w:tab w:val="left" w:pos="1062"/>
              </w:tabs>
              <w:ind w:firstLine="72"/>
            </w:pPr>
            <w:r>
              <w:t xml:space="preserve">Use the </w:t>
            </w:r>
            <w:hyperlink r:id="rId11" w:anchor="/doc" w:history="1">
              <w:r>
                <w:rPr>
                  <w:rStyle w:val="Hyperlink"/>
                </w:rPr>
                <w:t>NIST IZ Normative Test Process Document</w:t>
              </w:r>
            </w:hyperlink>
            <w:r>
              <w:t xml:space="preserve"> </w:t>
            </w:r>
            <w:r w:rsidR="00D110AC">
              <w:t>for test procedures</w:t>
            </w:r>
          </w:p>
          <w:p w:rsidR="00D110AC" w:rsidRDefault="00D110AC" w:rsidP="00D110AC">
            <w:pPr>
              <w:pStyle w:val="ListParagraph"/>
              <w:numPr>
                <w:ilvl w:val="0"/>
                <w:numId w:val="38"/>
              </w:numPr>
              <w:tabs>
                <w:tab w:val="left" w:pos="1062"/>
              </w:tabs>
              <w:ind w:firstLine="72"/>
            </w:pPr>
            <w:r>
              <w:t xml:space="preserve">The “Context-based” tab should be used for testing and validation </w:t>
            </w:r>
          </w:p>
          <w:p w:rsidR="00373A76" w:rsidRDefault="00373A76" w:rsidP="00373A76">
            <w:pPr>
              <w:pStyle w:val="ListParagraph"/>
              <w:numPr>
                <w:ilvl w:val="0"/>
                <w:numId w:val="38"/>
              </w:numPr>
              <w:tabs>
                <w:tab w:val="left" w:pos="1062"/>
              </w:tabs>
              <w:ind w:firstLine="72"/>
            </w:pPr>
            <w:r>
              <w:t>See “Documentation” tab for test process document and additional resources</w:t>
            </w:r>
          </w:p>
          <w:p w:rsidR="00373A76" w:rsidRPr="00E22856" w:rsidRDefault="00373A76" w:rsidP="00373A76">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6614C7" w:rsidRPr="00E33C64" w:rsidRDefault="00F91938" w:rsidP="006614C7">
      <w:pPr>
        <w:pStyle w:val="Heading3"/>
        <w:rPr>
          <w:rFonts w:ascii="Times New Roman" w:hAnsi="Times New Roman" w:cs="Times New Roman"/>
          <w:bCs w:val="0"/>
          <w:sz w:val="24"/>
          <w:szCs w:val="24"/>
        </w:rPr>
      </w:pPr>
      <w:bookmarkStart w:id="8" w:name="_1.1_Create_immunization"/>
      <w:bookmarkStart w:id="9" w:name="_Toc432066410"/>
      <w:bookmarkEnd w:id="8"/>
      <w:r>
        <w:rPr>
          <w:rFonts w:ascii="Times New Roman" w:hAnsi="Times New Roman" w:cs="Times New Roman"/>
          <w:bCs w:val="0"/>
          <w:sz w:val="24"/>
          <w:szCs w:val="24"/>
        </w:rPr>
        <w:t>1.1</w:t>
      </w:r>
      <w:r w:rsidR="00FF4F7F">
        <w:rPr>
          <w:rFonts w:ascii="Times New Roman" w:hAnsi="Times New Roman" w:cs="Times New Roman"/>
          <w:bCs w:val="0"/>
          <w:sz w:val="24"/>
          <w:szCs w:val="24"/>
        </w:rPr>
        <w:t xml:space="preserve"> </w:t>
      </w:r>
      <w:r w:rsidR="00640EC1">
        <w:rPr>
          <w:rFonts w:ascii="Times New Roman" w:hAnsi="Times New Roman" w:cs="Times New Roman"/>
          <w:bCs w:val="0"/>
          <w:sz w:val="24"/>
          <w:szCs w:val="24"/>
        </w:rPr>
        <w:t>Create immunization information messages</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4A6DF6" w:rsidP="00EB70D4">
            <w:pPr>
              <w:spacing w:line="360" w:lineRule="auto"/>
            </w:pPr>
            <w:r>
              <w:t>User</w:t>
            </w:r>
            <w:r w:rsidR="001A31D8">
              <w:t xml:space="preserve"> identifies</w:t>
            </w:r>
            <w:r w:rsidR="00EB70D4">
              <w:t xml:space="preserve"> each patient record</w:t>
            </w:r>
            <w:r w:rsidR="00C922A5">
              <w:t xml:space="preserve"> containing pre-loaded </w:t>
            </w:r>
            <w:r w:rsidR="00415F8E">
              <w:t>immunization dat</w:t>
            </w:r>
            <w:r w:rsidR="00C922A5">
              <w:t>a</w:t>
            </w:r>
            <w:r w:rsidR="00EB70D4">
              <w:t>,</w:t>
            </w:r>
            <w:r w:rsidR="00C922A5">
              <w:t xml:space="preserve"> or input immunization </w:t>
            </w:r>
            <w:r w:rsidR="00EB70D4">
              <w:t>data, based on the</w:t>
            </w:r>
            <w:r w:rsidR="00C922A5">
              <w:t xml:space="preserve"> </w:t>
            </w:r>
            <w:r w:rsidR="006C7591">
              <w:t xml:space="preserve">ten (10) NIST </w:t>
            </w:r>
            <w:r w:rsidR="00070F1A">
              <w:t>“</w:t>
            </w:r>
            <w:r w:rsidR="00415F8E">
              <w:t>Administration Group</w:t>
            </w:r>
            <w:r w:rsidR="00070F1A">
              <w:t>”</w:t>
            </w:r>
            <w:r w:rsidR="006C7591">
              <w:t xml:space="preserve"> </w:t>
            </w:r>
            <w:r w:rsidR="00A61057">
              <w:t>V04_</w:t>
            </w:r>
            <w:r w:rsidR="006C7591">
              <w:t xml:space="preserve">Z22 </w:t>
            </w:r>
            <w:r w:rsidR="00C922A5">
              <w:t>test cases</w:t>
            </w:r>
            <w:r w:rsidR="00EB70D4">
              <w:t xml:space="preserve"> listed below:</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1.IZ-AD-1.1_Send_V04_Z22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1.IZ-AD-2.1_Send_V04_Z22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1.IZ-AD-3.1_Send_V04_Z22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1.IZ-AD-4.1_Send_V04_Z22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1.IZ-AD-5.1_Send_V04_Z22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1.IZ-AD-6.1_Send_V04_Z22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1.IZ-AD-7.1_Send_V04_Z22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1.IZ-AD-8.1_Send_V04_Z22 </w:t>
            </w:r>
          </w:p>
          <w:p w:rsidR="00EB70D4" w:rsidRPr="00EB70D4" w:rsidRDefault="00EB70D4" w:rsidP="00A54C8D">
            <w:pPr>
              <w:pStyle w:val="ListParagraph"/>
              <w:numPr>
                <w:ilvl w:val="0"/>
                <w:numId w:val="30"/>
              </w:numPr>
              <w:tabs>
                <w:tab w:val="left" w:pos="1669"/>
              </w:tabs>
              <w:spacing w:line="360" w:lineRule="auto"/>
              <w:ind w:left="1219" w:firstLine="90"/>
            </w:pPr>
            <w:r w:rsidRPr="00EB70D4">
              <w:t xml:space="preserve">1.IZ-AD-9.1_Send_V04_Z22 </w:t>
            </w:r>
          </w:p>
          <w:p w:rsidR="00EB70D4" w:rsidRDefault="00EB70D4" w:rsidP="00A54C8D">
            <w:pPr>
              <w:pStyle w:val="ListParagraph"/>
              <w:numPr>
                <w:ilvl w:val="0"/>
                <w:numId w:val="30"/>
              </w:numPr>
              <w:tabs>
                <w:tab w:val="left" w:pos="1669"/>
              </w:tabs>
              <w:spacing w:line="360" w:lineRule="auto"/>
              <w:ind w:left="1219" w:firstLine="90"/>
            </w:pPr>
            <w:r w:rsidRPr="00EB70D4">
              <w:t xml:space="preserve">1.IZ-AD-10.1_Send_V04_Z22 </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F2389A"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6614C7" w:rsidRDefault="001A31D8" w:rsidP="008345FE">
            <w:pPr>
              <w:spacing w:line="360" w:lineRule="auto"/>
            </w:pPr>
            <w:r>
              <w:t>As instructed in the</w:t>
            </w:r>
            <w:r w:rsidR="006B493F">
              <w:t xml:space="preserve"> </w:t>
            </w:r>
            <w:hyperlink r:id="rId12" w:anchor="/doc" w:history="1">
              <w:r w:rsidR="006B493F">
                <w:rPr>
                  <w:rStyle w:val="Hyperlink"/>
                </w:rPr>
                <w:t>NIST Normative Test Process</w:t>
              </w:r>
            </w:hyperlink>
            <w:r w:rsidR="006B493F">
              <w:t xml:space="preserve">, </w:t>
            </w:r>
            <w:r w:rsidR="008345FE">
              <w:t xml:space="preserve">user </w:t>
            </w:r>
            <w:r w:rsidR="006B493F">
              <w:t>g</w:t>
            </w:r>
            <w:r w:rsidR="007B1182">
              <w:t>enerate</w:t>
            </w:r>
            <w:r w:rsidR="008345FE">
              <w:t>s</w:t>
            </w:r>
            <w:r w:rsidR="007B1182">
              <w:t xml:space="preserve"> </w:t>
            </w:r>
            <w:r w:rsidR="00F2389A">
              <w:t xml:space="preserve">the HL7 v2.5.1 Z22 </w:t>
            </w:r>
            <w:r w:rsidR="00070F1A">
              <w:t>message</w:t>
            </w:r>
            <w:r>
              <w:t>s</w:t>
            </w:r>
            <w:r w:rsidR="00070F1A">
              <w:t xml:space="preserve"> for each patient based </w:t>
            </w:r>
            <w:r w:rsidR="009D1A37">
              <w:t xml:space="preserve">and provide </w:t>
            </w:r>
            <w:r w:rsidR="008345FE">
              <w:t>copies</w:t>
            </w:r>
            <w:r w:rsidR="009D1A37">
              <w:t xml:space="preserve"> to the Proctor.</w:t>
            </w:r>
          </w:p>
        </w:tc>
      </w:tr>
      <w:tr w:rsidR="00F2389A" w:rsidTr="00C71C51">
        <w:sdt>
          <w:sdtPr>
            <w:id w:val="-4961751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2389A" w:rsidRDefault="00F65623" w:rsidP="00F2389A">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F2389A" w:rsidRDefault="00BE0BA8" w:rsidP="008345FE">
            <w:pPr>
              <w:spacing w:line="360" w:lineRule="auto"/>
            </w:pPr>
            <w:r>
              <w:t xml:space="preserve">Proctor </w:t>
            </w:r>
            <w:r w:rsidR="008345FE">
              <w:t>validates</w:t>
            </w:r>
            <w:r>
              <w:t xml:space="preserve"> each immunization message </w:t>
            </w:r>
            <w:r w:rsidR="008345FE">
              <w:t>using the NIST Immunization Test T</w:t>
            </w:r>
            <w:r>
              <w:t>ool to verify compliance</w:t>
            </w:r>
            <w:r w:rsidR="00F65623">
              <w:t>.</w:t>
            </w:r>
          </w:p>
        </w:tc>
      </w:tr>
      <w:tr w:rsidR="00F2389A" w:rsidTr="00C71C51">
        <w:sdt>
          <w:sdtPr>
            <w:id w:val="452671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2389A" w:rsidRDefault="00F2389A" w:rsidP="00F2389A">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F2389A" w:rsidRDefault="00D60342" w:rsidP="00EB3CC7">
            <w:pPr>
              <w:spacing w:line="360" w:lineRule="auto"/>
            </w:pPr>
            <w:r>
              <w:t xml:space="preserve">By visually inspecting Test Tool Report and Health IT configuration file (i.e., backend database, tables displayed in user interface, etc.), the </w:t>
            </w:r>
            <w:r w:rsidR="00015DF5">
              <w:t>Proctor verifies</w:t>
            </w:r>
            <w:r w:rsidR="00F2389A">
              <w:t xml:space="preserve"> </w:t>
            </w:r>
            <w:r w:rsidR="008A4126">
              <w:t xml:space="preserve">Health IT module supports </w:t>
            </w:r>
            <w:r w:rsidR="00EB3CC7">
              <w:t>the following vocabularies/value sets:</w:t>
            </w:r>
          </w:p>
          <w:p w:rsidR="00EB3CC7" w:rsidRDefault="00EB3CC7" w:rsidP="00A54C8D">
            <w:pPr>
              <w:pStyle w:val="ListParagraph"/>
              <w:numPr>
                <w:ilvl w:val="0"/>
                <w:numId w:val="40"/>
              </w:numPr>
              <w:spacing w:line="360" w:lineRule="auto"/>
              <w:ind w:left="1669"/>
            </w:pPr>
            <w:r>
              <w:t>CVX codes for historical vaccines</w:t>
            </w:r>
          </w:p>
          <w:p w:rsidR="00EB3CC7" w:rsidRDefault="00EB3CC7" w:rsidP="00A54C8D">
            <w:pPr>
              <w:pStyle w:val="ListParagraph"/>
              <w:numPr>
                <w:ilvl w:val="0"/>
                <w:numId w:val="40"/>
              </w:numPr>
              <w:spacing w:line="360" w:lineRule="auto"/>
              <w:ind w:left="1669"/>
            </w:pPr>
            <w:r>
              <w:t>NDC codes for administered vaccines</w:t>
            </w:r>
          </w:p>
          <w:p w:rsidR="00EB3CC7" w:rsidRDefault="00EB3CC7" w:rsidP="00A54C8D">
            <w:pPr>
              <w:pStyle w:val="ListParagraph"/>
              <w:numPr>
                <w:ilvl w:val="0"/>
                <w:numId w:val="40"/>
              </w:numPr>
              <w:spacing w:line="360" w:lineRule="auto"/>
              <w:ind w:left="1669"/>
            </w:pPr>
            <w:r>
              <w:t>CDC-defined NIP003 Observation Identifiers</w:t>
            </w:r>
          </w:p>
        </w:tc>
      </w:tr>
      <w:tr w:rsidR="00203881" w:rsidTr="00203881">
        <w:sdt>
          <w:sdtPr>
            <w:id w:val="1757860739"/>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MS Gothic" w:eastAsia="MS Gothic" w:hint="eastAsia"/>
                  </w:rPr>
                  <w:t>☐</w:t>
                </w:r>
              </w:p>
            </w:tc>
          </w:sdtContent>
        </w:sdt>
        <w:tc>
          <w:tcPr>
            <w:tcW w:w="7668" w:type="dxa"/>
          </w:tcPr>
          <w:p w:rsidR="00203881" w:rsidRDefault="00203881" w:rsidP="00F6135A">
            <w:pPr>
              <w:spacing w:line="360" w:lineRule="auto"/>
            </w:pPr>
            <w:r>
              <w:t xml:space="preserve">User identifies the Health IT module function(s) available to import acknowledgement (ACK) messages. </w:t>
            </w:r>
          </w:p>
        </w:tc>
      </w:tr>
      <w:tr w:rsidR="00203881" w:rsidTr="00203881">
        <w:sdt>
          <w:sdtPr>
            <w:id w:val="1905485379"/>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spacing w:line="360" w:lineRule="auto"/>
            </w:pPr>
            <w:r>
              <w:t>ACK Test Messages - Positive</w:t>
            </w:r>
          </w:p>
          <w:p w:rsidR="00203881" w:rsidRDefault="00203881" w:rsidP="00F6135A">
            <w:pPr>
              <w:pStyle w:val="ListParagraph"/>
              <w:numPr>
                <w:ilvl w:val="0"/>
                <w:numId w:val="30"/>
              </w:numPr>
              <w:spacing w:line="360" w:lineRule="auto"/>
            </w:pPr>
            <w:r>
              <w:t>User demonstrates health IT module receives and processes at least one positive acknowledgement (i.e., no errors reported back) from the first six messages from the NIST immunization tool. Additional messages may be tested at Proctor’s discretion.</w:t>
            </w:r>
          </w:p>
        </w:tc>
      </w:tr>
      <w:tr w:rsidR="00203881" w:rsidTr="00203881">
        <w:sdt>
          <w:sdtPr>
            <w:id w:val="-345941809"/>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spacing w:line="360" w:lineRule="auto"/>
            </w:pPr>
            <w:r>
              <w:t xml:space="preserve">ACK Test Messages - Errors </w:t>
            </w:r>
          </w:p>
          <w:p w:rsidR="00203881" w:rsidRDefault="00203881" w:rsidP="00F6135A">
            <w:pPr>
              <w:pStyle w:val="ListParagraph"/>
              <w:numPr>
                <w:ilvl w:val="0"/>
                <w:numId w:val="30"/>
              </w:numPr>
              <w:spacing w:line="360" w:lineRule="auto"/>
            </w:pPr>
            <w:r>
              <w:t>User demonstrates health IT module receives and processes the four (4) messages with ERR segments and display the issues in some manner in the Health IT module.</w:t>
            </w:r>
          </w:p>
        </w:tc>
      </w:tr>
    </w:tbl>
    <w:p w:rsidR="006614C7" w:rsidRPr="00EB70D4" w:rsidRDefault="006614C7" w:rsidP="006614C7">
      <w:pPr>
        <w:spacing w:line="360" w:lineRule="auto"/>
        <w:rPr>
          <w:color w:val="808080" w:themeColor="background1" w:themeShade="80"/>
        </w:rPr>
      </w:pPr>
    </w:p>
    <w:p w:rsidR="007B1182" w:rsidRDefault="007B1182" w:rsidP="007B1182">
      <w:pPr>
        <w:spacing w:line="360" w:lineRule="auto"/>
        <w:rPr>
          <w:color w:val="808080" w:themeColor="background1" w:themeShade="80"/>
        </w:rPr>
      </w:pPr>
      <w:r w:rsidRPr="00EB70D4">
        <w:rPr>
          <w:color w:val="808080" w:themeColor="background1" w:themeShade="80"/>
        </w:rPr>
        <w:t>&lt;INSERT Test Tool Report for 1.IZ-AD-1.1_Send_V04_Z22 &gt;</w:t>
      </w:r>
    </w:p>
    <w:p w:rsidR="00203881" w:rsidRDefault="00203881" w:rsidP="007B1182">
      <w:pPr>
        <w:spacing w:line="360" w:lineRule="auto"/>
        <w:rPr>
          <w:color w:val="808080" w:themeColor="background1" w:themeShade="80"/>
        </w:rPr>
      </w:pPr>
      <w:r>
        <w:rPr>
          <w:color w:val="808080" w:themeColor="background1" w:themeShade="80"/>
        </w:rPr>
        <w:t>&lt;INSERT SCREEN SHOT – Receive Acknowledgement&gt;</w:t>
      </w:r>
    </w:p>
    <w:p w:rsidR="00203881" w:rsidRPr="00EB70D4" w:rsidRDefault="00203881" w:rsidP="007B1182">
      <w:pPr>
        <w:spacing w:line="360" w:lineRule="auto"/>
        <w:rPr>
          <w:color w:val="808080" w:themeColor="background1" w:themeShade="80"/>
        </w:rPr>
      </w:pPr>
    </w:p>
    <w:p w:rsidR="007B1182" w:rsidRDefault="007B1182" w:rsidP="007B1182">
      <w:pPr>
        <w:spacing w:line="360" w:lineRule="auto"/>
        <w:rPr>
          <w:color w:val="808080" w:themeColor="background1" w:themeShade="80"/>
        </w:rPr>
      </w:pPr>
      <w:r w:rsidRPr="00EB70D4">
        <w:rPr>
          <w:color w:val="808080" w:themeColor="background1" w:themeShade="80"/>
        </w:rPr>
        <w:t>&lt;INSERT Test Tool Report for 1.IZ-AD-2.1_Send_V04_Z22 &gt;</w:t>
      </w:r>
    </w:p>
    <w:p w:rsidR="00203881" w:rsidRDefault="00203881" w:rsidP="00203881">
      <w:pPr>
        <w:spacing w:line="360" w:lineRule="auto"/>
        <w:rPr>
          <w:color w:val="808080" w:themeColor="background1" w:themeShade="80"/>
        </w:rPr>
      </w:pPr>
      <w:r>
        <w:rPr>
          <w:color w:val="808080" w:themeColor="background1" w:themeShade="80"/>
        </w:rPr>
        <w:t>&lt;INSERT SCREEN SHOT – Receive Acknowledgement&gt;</w:t>
      </w:r>
    </w:p>
    <w:p w:rsidR="00203881" w:rsidRPr="00EB70D4" w:rsidRDefault="00203881" w:rsidP="00203881">
      <w:pPr>
        <w:spacing w:line="360" w:lineRule="auto"/>
        <w:rPr>
          <w:color w:val="808080" w:themeColor="background1" w:themeShade="80"/>
        </w:rPr>
      </w:pPr>
    </w:p>
    <w:p w:rsidR="007B1182" w:rsidRDefault="007B1182" w:rsidP="007B1182">
      <w:pPr>
        <w:spacing w:line="360" w:lineRule="auto"/>
        <w:rPr>
          <w:color w:val="808080" w:themeColor="background1" w:themeShade="80"/>
        </w:rPr>
      </w:pPr>
      <w:r w:rsidRPr="00EB70D4">
        <w:rPr>
          <w:color w:val="808080" w:themeColor="background1" w:themeShade="80"/>
        </w:rPr>
        <w:t>&lt;INSERT Test Tool Report for 1.IZ-AD-3.1_Send_V04_Z22 &gt;</w:t>
      </w:r>
    </w:p>
    <w:p w:rsidR="00203881" w:rsidRDefault="00203881" w:rsidP="00203881">
      <w:pPr>
        <w:spacing w:line="360" w:lineRule="auto"/>
        <w:rPr>
          <w:color w:val="808080" w:themeColor="background1" w:themeShade="80"/>
        </w:rPr>
      </w:pPr>
      <w:r>
        <w:rPr>
          <w:color w:val="808080" w:themeColor="background1" w:themeShade="80"/>
        </w:rPr>
        <w:t>&lt;INSERT SCREEN SHOT – Receive Acknowledgement&gt;</w:t>
      </w:r>
    </w:p>
    <w:p w:rsidR="00203881" w:rsidRPr="00EB70D4" w:rsidRDefault="00203881" w:rsidP="00203881">
      <w:pPr>
        <w:spacing w:line="360" w:lineRule="auto"/>
        <w:rPr>
          <w:color w:val="808080" w:themeColor="background1" w:themeShade="80"/>
        </w:rPr>
      </w:pPr>
    </w:p>
    <w:p w:rsidR="007B1182" w:rsidRDefault="007B1182" w:rsidP="007B1182">
      <w:pPr>
        <w:spacing w:line="360" w:lineRule="auto"/>
        <w:rPr>
          <w:color w:val="808080" w:themeColor="background1" w:themeShade="80"/>
        </w:rPr>
      </w:pPr>
      <w:r w:rsidRPr="00EB70D4">
        <w:rPr>
          <w:color w:val="808080" w:themeColor="background1" w:themeShade="80"/>
        </w:rPr>
        <w:t>&lt;INSERT Test Tool Report for 1.IZ-AD</w:t>
      </w:r>
      <w:r w:rsidR="001D5BA8" w:rsidRPr="00EB70D4">
        <w:rPr>
          <w:color w:val="808080" w:themeColor="background1" w:themeShade="80"/>
        </w:rPr>
        <w:t>-4</w:t>
      </w:r>
      <w:r w:rsidRPr="00EB70D4">
        <w:rPr>
          <w:color w:val="808080" w:themeColor="background1" w:themeShade="80"/>
        </w:rPr>
        <w:t>.1_Send_V04_Z22 &gt;</w:t>
      </w:r>
    </w:p>
    <w:p w:rsidR="00203881" w:rsidRDefault="00203881" w:rsidP="00203881">
      <w:pPr>
        <w:spacing w:line="360" w:lineRule="auto"/>
        <w:rPr>
          <w:color w:val="808080" w:themeColor="background1" w:themeShade="80"/>
        </w:rPr>
      </w:pPr>
      <w:r>
        <w:rPr>
          <w:color w:val="808080" w:themeColor="background1" w:themeShade="80"/>
        </w:rPr>
        <w:t>&lt;INSERT SCREEN SHOT – Receive Acknowledgement&gt;</w:t>
      </w:r>
    </w:p>
    <w:p w:rsidR="00203881" w:rsidRPr="00EB70D4" w:rsidRDefault="00203881" w:rsidP="00203881">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1.IZ-AD-5.1_Send_V04_Z22 &gt;</w:t>
      </w:r>
    </w:p>
    <w:p w:rsidR="00203881" w:rsidRDefault="00203881" w:rsidP="00203881">
      <w:pPr>
        <w:spacing w:line="360" w:lineRule="auto"/>
        <w:rPr>
          <w:color w:val="808080" w:themeColor="background1" w:themeShade="80"/>
        </w:rPr>
      </w:pPr>
      <w:r>
        <w:rPr>
          <w:color w:val="808080" w:themeColor="background1" w:themeShade="80"/>
        </w:rPr>
        <w:t>&lt;INSERT SCREEN SHOT – Receive Acknowledgement&gt;</w:t>
      </w:r>
    </w:p>
    <w:p w:rsidR="00203881" w:rsidRDefault="00203881" w:rsidP="00203881">
      <w:pPr>
        <w:spacing w:line="360" w:lineRule="auto"/>
        <w:rPr>
          <w:color w:val="808080" w:themeColor="background1" w:themeShade="80"/>
        </w:rPr>
      </w:pPr>
    </w:p>
    <w:p w:rsidR="00203881" w:rsidRPr="00EB70D4" w:rsidRDefault="00203881" w:rsidP="00203881">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lastRenderedPageBreak/>
        <w:t>&lt;INSERT Test Tool Report for 1.IZ-AD-6.1_Send_V04_Z22 &gt;</w:t>
      </w:r>
    </w:p>
    <w:p w:rsidR="00203881" w:rsidRDefault="00203881" w:rsidP="00203881">
      <w:pPr>
        <w:spacing w:line="360" w:lineRule="auto"/>
        <w:rPr>
          <w:color w:val="808080" w:themeColor="background1" w:themeShade="80"/>
        </w:rPr>
      </w:pPr>
      <w:r>
        <w:rPr>
          <w:color w:val="808080" w:themeColor="background1" w:themeShade="80"/>
        </w:rPr>
        <w:t>&lt;INSERT SCREEN SHOT – Receive Acknowledgement&gt;</w:t>
      </w:r>
    </w:p>
    <w:p w:rsidR="00203881" w:rsidRPr="00EB70D4" w:rsidRDefault="00203881" w:rsidP="00203881">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1.IZ-AD-7.1_Send_V04_Z22 &gt;</w:t>
      </w:r>
    </w:p>
    <w:p w:rsidR="00203881" w:rsidRDefault="00203881" w:rsidP="00203881">
      <w:pPr>
        <w:spacing w:line="360" w:lineRule="auto"/>
        <w:rPr>
          <w:color w:val="808080" w:themeColor="background1" w:themeShade="80"/>
        </w:rPr>
      </w:pPr>
      <w:r>
        <w:rPr>
          <w:color w:val="808080" w:themeColor="background1" w:themeShade="80"/>
        </w:rPr>
        <w:t xml:space="preserve">&lt;INSERT SCREEN SHOT – Receive </w:t>
      </w:r>
      <w:r>
        <w:rPr>
          <w:color w:val="808080" w:themeColor="background1" w:themeShade="80"/>
        </w:rPr>
        <w:t xml:space="preserve">and Process ERROR </w:t>
      </w:r>
      <w:r>
        <w:rPr>
          <w:color w:val="808080" w:themeColor="background1" w:themeShade="80"/>
        </w:rPr>
        <w:t>Acknowledgement&gt;</w:t>
      </w:r>
    </w:p>
    <w:p w:rsidR="00203881" w:rsidRPr="00EB70D4" w:rsidRDefault="00203881" w:rsidP="00203881">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1.IZ-AD-8.1_Send_V04_Z22 &gt;</w:t>
      </w:r>
    </w:p>
    <w:p w:rsidR="00203881" w:rsidRPr="00EB70D4" w:rsidRDefault="00203881" w:rsidP="00203881">
      <w:pPr>
        <w:spacing w:line="360" w:lineRule="auto"/>
        <w:rPr>
          <w:color w:val="808080" w:themeColor="background1" w:themeShade="80"/>
        </w:rPr>
      </w:pPr>
      <w:r>
        <w:rPr>
          <w:color w:val="808080" w:themeColor="background1" w:themeShade="80"/>
        </w:rPr>
        <w:t>&lt;INSERT SCREEN SHOT – Receive and Process ERROR Acknowledgement&gt;</w:t>
      </w:r>
    </w:p>
    <w:p w:rsidR="00203881" w:rsidRPr="00EB70D4" w:rsidRDefault="00203881" w:rsidP="001D5BA8">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1.IZ-AD-9.1_Send_V04_Z22 &gt;</w:t>
      </w:r>
    </w:p>
    <w:p w:rsidR="00203881" w:rsidRPr="00EB70D4" w:rsidRDefault="00203881" w:rsidP="00203881">
      <w:pPr>
        <w:spacing w:line="360" w:lineRule="auto"/>
        <w:rPr>
          <w:color w:val="808080" w:themeColor="background1" w:themeShade="80"/>
        </w:rPr>
      </w:pPr>
      <w:r>
        <w:rPr>
          <w:color w:val="808080" w:themeColor="background1" w:themeShade="80"/>
        </w:rPr>
        <w:t>&lt;INSERT SCREEN SHOT – Receive and Process ERROR Acknowledgement&gt;</w:t>
      </w:r>
    </w:p>
    <w:p w:rsidR="00203881" w:rsidRPr="00EB70D4" w:rsidRDefault="00203881" w:rsidP="001D5BA8">
      <w:pPr>
        <w:spacing w:line="360" w:lineRule="auto"/>
        <w:rPr>
          <w:color w:val="808080" w:themeColor="background1" w:themeShade="80"/>
        </w:rPr>
      </w:pPr>
    </w:p>
    <w:p w:rsidR="001D5BA8" w:rsidRDefault="001D5BA8" w:rsidP="001D5BA8">
      <w:pPr>
        <w:spacing w:line="360" w:lineRule="auto"/>
        <w:rPr>
          <w:color w:val="808080" w:themeColor="background1" w:themeShade="80"/>
        </w:rPr>
      </w:pPr>
      <w:r w:rsidRPr="00EB70D4">
        <w:rPr>
          <w:color w:val="808080" w:themeColor="background1" w:themeShade="80"/>
        </w:rPr>
        <w:t>&lt;INSERT Test Tool Report for 1.IZ-AD-10.1_Send_V04_Z22 &gt;</w:t>
      </w:r>
    </w:p>
    <w:p w:rsidR="00203881" w:rsidRPr="00EB70D4" w:rsidRDefault="00203881" w:rsidP="00203881">
      <w:pPr>
        <w:spacing w:line="360" w:lineRule="auto"/>
        <w:rPr>
          <w:color w:val="808080" w:themeColor="background1" w:themeShade="80"/>
        </w:rPr>
      </w:pPr>
      <w:r>
        <w:rPr>
          <w:color w:val="808080" w:themeColor="background1" w:themeShade="80"/>
        </w:rPr>
        <w:t>&lt;INSERT SCREEN SHOT – Receive and Process ERROR Acknowledgement&gt;</w:t>
      </w:r>
    </w:p>
    <w:p w:rsidR="00203881" w:rsidRDefault="00203881" w:rsidP="001D5BA8">
      <w:pPr>
        <w:spacing w:line="360" w:lineRule="auto"/>
        <w:rPr>
          <w:color w:val="808080" w:themeColor="background1" w:themeShade="80"/>
        </w:rPr>
      </w:pPr>
    </w:p>
    <w:p w:rsidR="00BB4842" w:rsidRPr="00EB70D4" w:rsidRDefault="00BB4842" w:rsidP="001D5BA8">
      <w:pPr>
        <w:spacing w:line="360" w:lineRule="auto"/>
        <w:rPr>
          <w:color w:val="808080" w:themeColor="background1" w:themeShade="80"/>
        </w:rPr>
      </w:pPr>
    </w:p>
    <w:p w:rsidR="004E062D" w:rsidRDefault="004E062D">
      <w:pPr>
        <w:rPr>
          <w:b/>
        </w:rPr>
      </w:pPr>
      <w:r>
        <w:rPr>
          <w:bCs/>
        </w:rPr>
        <w:br w:type="page"/>
      </w:r>
    </w:p>
    <w:p w:rsidR="002D1B7C" w:rsidRPr="00E33C64" w:rsidRDefault="004E062D" w:rsidP="002D1B7C">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w:t>
      </w:r>
      <w:r w:rsidR="00F91938">
        <w:rPr>
          <w:rFonts w:ascii="Times New Roman" w:hAnsi="Times New Roman" w:cs="Times New Roman"/>
          <w:bCs w:val="0"/>
          <w:sz w:val="24"/>
          <w:szCs w:val="24"/>
        </w:rPr>
        <w:t>2</w:t>
      </w:r>
      <w:r w:rsidR="00FF4F7F">
        <w:rPr>
          <w:rFonts w:ascii="Times New Roman" w:hAnsi="Times New Roman" w:cs="Times New Roman"/>
          <w:bCs w:val="0"/>
          <w:sz w:val="24"/>
          <w:szCs w:val="24"/>
        </w:rPr>
        <w:t xml:space="preserve"> </w:t>
      </w:r>
      <w:r w:rsidR="002D1B7C">
        <w:rPr>
          <w:rFonts w:ascii="Times New Roman" w:hAnsi="Times New Roman" w:cs="Times New Roman"/>
          <w:bCs w:val="0"/>
          <w:sz w:val="24"/>
          <w:szCs w:val="24"/>
        </w:rPr>
        <w:t>Create</w:t>
      </w:r>
      <w:r w:rsidR="00F91938" w:rsidRPr="00F91938">
        <w:rPr>
          <w:rFonts w:ascii="Times New Roman" w:hAnsi="Times New Roman" w:cs="Times New Roman"/>
          <w:bCs w:val="0"/>
          <w:sz w:val="24"/>
          <w:szCs w:val="24"/>
        </w:rPr>
        <w:t xml:space="preserve"> </w:t>
      </w:r>
      <w:r w:rsidR="00F91938">
        <w:rPr>
          <w:rFonts w:ascii="Times New Roman" w:hAnsi="Times New Roman" w:cs="Times New Roman"/>
          <w:bCs w:val="0"/>
          <w:sz w:val="24"/>
          <w:szCs w:val="24"/>
        </w:rPr>
        <w:t>forecast query messages</w:t>
      </w:r>
      <w:r w:rsidR="002D1B7C">
        <w:rPr>
          <w:rFonts w:ascii="Times New Roman" w:hAnsi="Times New Roman" w:cs="Times New Roman"/>
          <w:bCs w:val="0"/>
          <w:sz w:val="24"/>
          <w:szCs w:val="24"/>
        </w:rPr>
        <w:t xml:space="preserve"> and </w:t>
      </w:r>
      <w:r w:rsidR="00F91938">
        <w:rPr>
          <w:rFonts w:ascii="Times New Roman" w:hAnsi="Times New Roman" w:cs="Times New Roman"/>
          <w:bCs w:val="0"/>
          <w:sz w:val="24"/>
          <w:szCs w:val="24"/>
        </w:rPr>
        <w:t xml:space="preserve">receive </w:t>
      </w:r>
      <w:r w:rsidR="00D81C27">
        <w:rPr>
          <w:rFonts w:ascii="Times New Roman" w:hAnsi="Times New Roman" w:cs="Times New Roman"/>
          <w:bCs w:val="0"/>
          <w:sz w:val="24"/>
          <w:szCs w:val="24"/>
        </w:rPr>
        <w:t>i</w:t>
      </w:r>
      <w:r w:rsidR="00F91938">
        <w:rPr>
          <w:rFonts w:ascii="Times New Roman" w:hAnsi="Times New Roman" w:cs="Times New Roman"/>
          <w:bCs w:val="0"/>
          <w:sz w:val="24"/>
          <w:szCs w:val="24"/>
        </w:rPr>
        <w:t>mmunization history</w:t>
      </w:r>
    </w:p>
    <w:tbl>
      <w:tblPr>
        <w:tblStyle w:val="TableGrid"/>
        <w:tblW w:w="0" w:type="auto"/>
        <w:tblLook w:val="04A0" w:firstRow="1" w:lastRow="0" w:firstColumn="1" w:lastColumn="0" w:noHBand="0" w:noVBand="1"/>
      </w:tblPr>
      <w:tblGrid>
        <w:gridCol w:w="828"/>
        <w:gridCol w:w="7668"/>
      </w:tblGrid>
      <w:tr w:rsidR="002D1B7C" w:rsidTr="00C71C51">
        <w:sdt>
          <w:sdtPr>
            <w:id w:val="-164226155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1061A" w:rsidRDefault="00A62BA3" w:rsidP="00C1061A">
            <w:pPr>
              <w:spacing w:line="360" w:lineRule="auto"/>
            </w:pPr>
            <w:r>
              <w:t>User</w:t>
            </w:r>
            <w:r w:rsidR="00031661">
              <w:t xml:space="preserve"> identifies</w:t>
            </w:r>
            <w:r w:rsidR="00C1061A">
              <w:t xml:space="preserve"> each patient record containing pre-loaded patient demographics, or input patient demographics, based on the four (4) NIST “Evaluated History and Forecast Group” query test cases listed below:</w:t>
            </w:r>
          </w:p>
          <w:p w:rsidR="00C1061A" w:rsidRPr="00EB70D4" w:rsidRDefault="00C1061A" w:rsidP="00C1061A">
            <w:pPr>
              <w:pStyle w:val="ListParagraph"/>
              <w:numPr>
                <w:ilvl w:val="0"/>
                <w:numId w:val="30"/>
              </w:numPr>
              <w:tabs>
                <w:tab w:val="left" w:pos="1849"/>
              </w:tabs>
              <w:spacing w:line="360" w:lineRule="auto"/>
              <w:ind w:left="1309" w:firstLine="90"/>
            </w:pPr>
            <w:r>
              <w:t>1.IZ-QR</w:t>
            </w:r>
            <w:r w:rsidRPr="00EB70D4">
              <w:t>-1.1_</w:t>
            </w:r>
            <w:r>
              <w:t>Query</w:t>
            </w:r>
            <w:r w:rsidRPr="00EB70D4">
              <w:t>_</w:t>
            </w:r>
            <w:r>
              <w:t>Q11_Z44</w:t>
            </w:r>
          </w:p>
          <w:p w:rsidR="00C1061A" w:rsidRDefault="00C1061A" w:rsidP="00C1061A">
            <w:pPr>
              <w:pStyle w:val="ListParagraph"/>
              <w:numPr>
                <w:ilvl w:val="0"/>
                <w:numId w:val="30"/>
              </w:numPr>
              <w:tabs>
                <w:tab w:val="left" w:pos="1849"/>
              </w:tabs>
              <w:spacing w:line="360" w:lineRule="auto"/>
              <w:ind w:left="1309" w:firstLine="90"/>
            </w:pPr>
            <w:r>
              <w:t>1.IZ-QR-2</w:t>
            </w:r>
            <w:r w:rsidRPr="00EB70D4">
              <w:t>.1_</w:t>
            </w:r>
            <w:r>
              <w:t>Query</w:t>
            </w:r>
            <w:r w:rsidRPr="00EB70D4">
              <w:t>_</w:t>
            </w:r>
            <w:r>
              <w:t>Q11_Z44</w:t>
            </w:r>
          </w:p>
          <w:p w:rsidR="00C1061A" w:rsidRPr="00EB70D4" w:rsidRDefault="00C1061A" w:rsidP="00C1061A">
            <w:pPr>
              <w:pStyle w:val="ListParagraph"/>
              <w:numPr>
                <w:ilvl w:val="0"/>
                <w:numId w:val="30"/>
              </w:numPr>
              <w:tabs>
                <w:tab w:val="left" w:pos="1849"/>
              </w:tabs>
              <w:spacing w:line="360" w:lineRule="auto"/>
              <w:ind w:left="1309" w:firstLine="90"/>
            </w:pPr>
            <w:r>
              <w:t>1.IZ-QR-3</w:t>
            </w:r>
            <w:r w:rsidRPr="00EB70D4">
              <w:t>.1_</w:t>
            </w:r>
            <w:r>
              <w:t>Query</w:t>
            </w:r>
            <w:r w:rsidRPr="00EB70D4">
              <w:t>_</w:t>
            </w:r>
            <w:r>
              <w:t>Q11_Z44</w:t>
            </w:r>
          </w:p>
          <w:p w:rsidR="002D1B7C" w:rsidRDefault="00C1061A" w:rsidP="00C1061A">
            <w:pPr>
              <w:pStyle w:val="ListParagraph"/>
              <w:numPr>
                <w:ilvl w:val="0"/>
                <w:numId w:val="30"/>
              </w:numPr>
              <w:tabs>
                <w:tab w:val="left" w:pos="1849"/>
              </w:tabs>
              <w:spacing w:line="360" w:lineRule="auto"/>
              <w:ind w:left="1309" w:firstLine="90"/>
            </w:pPr>
            <w:r>
              <w:t>1.IZ-QR-4</w:t>
            </w:r>
            <w:r w:rsidRPr="00EB70D4">
              <w:t>.1_</w:t>
            </w:r>
            <w:r>
              <w:t>Query</w:t>
            </w:r>
            <w:r w:rsidRPr="00EB70D4">
              <w:t>_</w:t>
            </w:r>
            <w:r>
              <w:t>Q11_Z44</w:t>
            </w:r>
          </w:p>
        </w:tc>
      </w:tr>
      <w:tr w:rsidR="002D1B7C" w:rsidTr="00C71C51">
        <w:sdt>
          <w:sdtPr>
            <w:id w:val="176496065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2D1B7C" w:rsidRDefault="00031661" w:rsidP="00F2389A">
            <w:pPr>
              <w:spacing w:line="360" w:lineRule="auto"/>
            </w:pPr>
            <w:r>
              <w:t>User g</w:t>
            </w:r>
            <w:r w:rsidR="00C644EA">
              <w:t>enerate</w:t>
            </w:r>
            <w:r w:rsidR="004867EA">
              <w:t>s</w:t>
            </w:r>
            <w:r w:rsidR="00C644EA">
              <w:t xml:space="preserve"> </w:t>
            </w:r>
            <w:r w:rsidR="00F2389A">
              <w:t xml:space="preserve">the HL7 v2.5.1 Z44 QBP </w:t>
            </w:r>
            <w:r w:rsidR="00C644EA">
              <w:t>query message for each patient</w:t>
            </w:r>
            <w:r w:rsidR="009D1A37">
              <w:t xml:space="preserve"> and provide</w:t>
            </w:r>
            <w:r w:rsidR="004867EA">
              <w:t>s copies</w:t>
            </w:r>
            <w:r w:rsidR="009D1A37">
              <w:t xml:space="preserve"> to the Proctor.</w:t>
            </w:r>
          </w:p>
        </w:tc>
      </w:tr>
      <w:tr w:rsidR="002D1B7C" w:rsidTr="00C71C51">
        <w:sdt>
          <w:sdtPr>
            <w:id w:val="-53211326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2D1B7C" w:rsidRDefault="002D1B7C" w:rsidP="00C71C51">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2D1B7C" w:rsidRDefault="004867EA" w:rsidP="004867EA">
            <w:pPr>
              <w:spacing w:line="360" w:lineRule="auto"/>
            </w:pPr>
            <w:r>
              <w:t>Proctor validates</w:t>
            </w:r>
            <w:r w:rsidR="008E71E5">
              <w:t xml:space="preserve"> each query message </w:t>
            </w:r>
            <w:r>
              <w:t>using</w:t>
            </w:r>
            <w:r w:rsidR="007C040E">
              <w:t xml:space="preserve"> the NIST Immunization Test T</w:t>
            </w:r>
            <w:r w:rsidR="008E71E5">
              <w:t>ool to verify compliance</w:t>
            </w:r>
            <w:r w:rsidR="00482574">
              <w:t>.</w:t>
            </w:r>
          </w:p>
        </w:tc>
      </w:tr>
      <w:tr w:rsidR="00203881" w:rsidTr="00203881">
        <w:sdt>
          <w:sdtPr>
            <w:id w:val="-397444598"/>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MS Gothic" w:eastAsia="MS Gothic" w:hint="eastAsia"/>
                  </w:rPr>
                  <w:t>☐</w:t>
                </w:r>
              </w:p>
            </w:tc>
          </w:sdtContent>
        </w:sdt>
        <w:tc>
          <w:tcPr>
            <w:tcW w:w="7668" w:type="dxa"/>
          </w:tcPr>
          <w:p w:rsidR="00203881" w:rsidRDefault="00203881" w:rsidP="00F6135A">
            <w:pPr>
              <w:spacing w:line="360" w:lineRule="auto"/>
            </w:pPr>
            <w:r>
              <w:t>User identifies the Health IT module function(s) available to receive the evaluated immunization history and forecast response (RSP) messages.</w:t>
            </w:r>
          </w:p>
        </w:tc>
      </w:tr>
      <w:tr w:rsidR="00203881" w:rsidTr="00203881">
        <w:sdt>
          <w:sdtPr>
            <w:id w:val="494082802"/>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spacing w:line="360" w:lineRule="auto"/>
            </w:pPr>
            <w:r>
              <w:t>User demonstrates the health IT module receives, processes, and displays responses that contain evaluated history and forecast information for:</w:t>
            </w:r>
          </w:p>
          <w:p w:rsidR="00203881" w:rsidRPr="00EB70D4" w:rsidRDefault="00203881" w:rsidP="00F6135A">
            <w:pPr>
              <w:pStyle w:val="ListParagraph"/>
              <w:numPr>
                <w:ilvl w:val="0"/>
                <w:numId w:val="30"/>
              </w:numPr>
              <w:tabs>
                <w:tab w:val="left" w:pos="1849"/>
              </w:tabs>
              <w:spacing w:line="360" w:lineRule="auto"/>
              <w:ind w:left="1309" w:firstLine="90"/>
            </w:pPr>
            <w:r>
              <w:t>2.IZ-QR</w:t>
            </w:r>
            <w:r w:rsidRPr="00EB70D4">
              <w:t>-1.</w:t>
            </w:r>
            <w:r>
              <w:t>2</w:t>
            </w:r>
            <w:r w:rsidRPr="00EB70D4">
              <w:t>_</w:t>
            </w:r>
            <w:r>
              <w:t>Response</w:t>
            </w:r>
            <w:r w:rsidRPr="00EB70D4">
              <w:t>_</w:t>
            </w:r>
            <w:r>
              <w:t>K11_Z42</w:t>
            </w:r>
          </w:p>
          <w:p w:rsidR="00203881" w:rsidRDefault="00203881" w:rsidP="00F6135A">
            <w:pPr>
              <w:pStyle w:val="ListParagraph"/>
              <w:numPr>
                <w:ilvl w:val="0"/>
                <w:numId w:val="30"/>
              </w:numPr>
              <w:tabs>
                <w:tab w:val="left" w:pos="1849"/>
              </w:tabs>
              <w:spacing w:line="360" w:lineRule="auto"/>
              <w:ind w:left="1309" w:firstLine="90"/>
            </w:pPr>
            <w:r>
              <w:t>2.IZ-QR</w:t>
            </w:r>
            <w:r w:rsidRPr="00EB70D4">
              <w:t>-</w:t>
            </w:r>
            <w:r>
              <w:t>2</w:t>
            </w:r>
            <w:r w:rsidRPr="00EB70D4">
              <w:t>.</w:t>
            </w:r>
            <w:r>
              <w:t>2</w:t>
            </w:r>
            <w:r w:rsidRPr="00EB70D4">
              <w:t>_</w:t>
            </w:r>
            <w:r>
              <w:t>Response</w:t>
            </w:r>
            <w:r w:rsidRPr="00EB70D4">
              <w:t>_</w:t>
            </w:r>
            <w:r>
              <w:t>K11_Z42</w:t>
            </w:r>
          </w:p>
        </w:tc>
      </w:tr>
      <w:tr w:rsidR="00203881" w:rsidTr="00203881">
        <w:sdt>
          <w:sdtPr>
            <w:id w:val="953667468"/>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tabs>
                <w:tab w:val="left" w:pos="1849"/>
              </w:tabs>
              <w:spacing w:line="360" w:lineRule="auto"/>
            </w:pPr>
            <w:r>
              <w:t>Proctor utilizes NIST Juror Document to verify health IT module processes and displays history and forecast information as expected.</w:t>
            </w:r>
          </w:p>
        </w:tc>
      </w:tr>
      <w:tr w:rsidR="00203881" w:rsidTr="00203881">
        <w:sdt>
          <w:sdtPr>
            <w:id w:val="-2083819153"/>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spacing w:line="360" w:lineRule="auto"/>
            </w:pPr>
            <w:r>
              <w:t xml:space="preserve">User demonstrates the health IT module receives, processes, and displays the following response with a notification that the query is complete </w:t>
            </w:r>
            <w:r w:rsidRPr="00D370AD">
              <w:rPr>
                <w:i/>
              </w:rPr>
              <w:t>but no matching records were found</w:t>
            </w:r>
            <w:r>
              <w:t>:</w:t>
            </w:r>
          </w:p>
          <w:p w:rsidR="00203881" w:rsidRDefault="00203881" w:rsidP="00F6135A">
            <w:pPr>
              <w:pStyle w:val="ListParagraph"/>
              <w:numPr>
                <w:ilvl w:val="0"/>
                <w:numId w:val="30"/>
              </w:numPr>
              <w:tabs>
                <w:tab w:val="left" w:pos="1849"/>
              </w:tabs>
              <w:spacing w:line="360" w:lineRule="auto"/>
              <w:ind w:left="1309" w:firstLine="90"/>
            </w:pPr>
            <w:r>
              <w:t>2.IZ-QR-3</w:t>
            </w:r>
            <w:r w:rsidRPr="00EB70D4">
              <w:t>.</w:t>
            </w:r>
            <w:r>
              <w:t>2</w:t>
            </w:r>
            <w:r w:rsidRPr="00EB70D4">
              <w:t>_</w:t>
            </w:r>
            <w:r>
              <w:t>Response</w:t>
            </w:r>
            <w:r w:rsidRPr="00EB70D4">
              <w:t>_</w:t>
            </w:r>
            <w:r>
              <w:t>NF_K11_Z33</w:t>
            </w:r>
          </w:p>
        </w:tc>
      </w:tr>
      <w:tr w:rsidR="00203881" w:rsidTr="00203881">
        <w:sdt>
          <w:sdtPr>
            <w:id w:val="-908155473"/>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tabs>
                <w:tab w:val="left" w:pos="1849"/>
              </w:tabs>
              <w:spacing w:line="360" w:lineRule="auto"/>
            </w:pPr>
            <w:r>
              <w:t>Proctor utilizes NIST Juror Document to verify health IT module processes and displays a notification indicating that the query for an evaluated immunization history and immunization forecast is complete but no matching records were found for the person in the query.</w:t>
            </w:r>
          </w:p>
        </w:tc>
      </w:tr>
      <w:tr w:rsidR="00203881" w:rsidTr="00203881">
        <w:sdt>
          <w:sdtPr>
            <w:id w:val="-1194916087"/>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spacing w:line="360" w:lineRule="auto"/>
            </w:pPr>
            <w:r>
              <w:t xml:space="preserve">User demonstrates the health IT module receives, processes, and displays the following response with a notification that the query is complete </w:t>
            </w:r>
            <w:r w:rsidRPr="00D370AD">
              <w:rPr>
                <w:i/>
              </w:rPr>
              <w:t>but too many matches were found</w:t>
            </w:r>
            <w:r>
              <w:t>:</w:t>
            </w:r>
          </w:p>
          <w:p w:rsidR="00203881" w:rsidRDefault="00203881" w:rsidP="00F6135A">
            <w:pPr>
              <w:pStyle w:val="ListParagraph"/>
              <w:numPr>
                <w:ilvl w:val="0"/>
                <w:numId w:val="30"/>
              </w:numPr>
              <w:tabs>
                <w:tab w:val="left" w:pos="1849"/>
              </w:tabs>
              <w:spacing w:line="360" w:lineRule="auto"/>
              <w:ind w:left="1309" w:firstLine="90"/>
            </w:pPr>
            <w:r>
              <w:t>2.IZ-QR-4</w:t>
            </w:r>
            <w:r w:rsidRPr="00EB70D4">
              <w:t>.</w:t>
            </w:r>
            <w:r>
              <w:t>2</w:t>
            </w:r>
            <w:r w:rsidRPr="00EB70D4">
              <w:t>_</w:t>
            </w:r>
            <w:r>
              <w:t>Response</w:t>
            </w:r>
            <w:r w:rsidRPr="00EB70D4">
              <w:t>_</w:t>
            </w:r>
            <w:r>
              <w:t>TM_K11_Z33</w:t>
            </w:r>
          </w:p>
        </w:tc>
      </w:tr>
      <w:tr w:rsidR="00203881" w:rsidTr="00203881">
        <w:sdt>
          <w:sdtPr>
            <w:id w:val="1482657181"/>
            <w14:checkbox>
              <w14:checked w14:val="0"/>
              <w14:checkedState w14:val="2612" w14:font="Arial Unicode MS"/>
              <w14:uncheckedState w14:val="2610" w14:font="Arial Unicode MS"/>
            </w14:checkbox>
          </w:sdtPr>
          <w:sdtContent>
            <w:tc>
              <w:tcPr>
                <w:tcW w:w="828" w:type="dxa"/>
              </w:tcPr>
              <w:p w:rsidR="00203881" w:rsidRDefault="00203881" w:rsidP="00F6135A">
                <w:pPr>
                  <w:spacing w:line="360" w:lineRule="auto"/>
                </w:pPr>
                <w:r>
                  <w:rPr>
                    <w:rFonts w:ascii="Arial Unicode MS" w:eastAsia="Arial Unicode MS" w:hAnsi="Arial Unicode MS" w:cs="Arial Unicode MS" w:hint="eastAsia"/>
                  </w:rPr>
                  <w:t>☐</w:t>
                </w:r>
              </w:p>
            </w:tc>
          </w:sdtContent>
        </w:sdt>
        <w:tc>
          <w:tcPr>
            <w:tcW w:w="7668" w:type="dxa"/>
          </w:tcPr>
          <w:p w:rsidR="00203881" w:rsidRDefault="00203881" w:rsidP="00F6135A">
            <w:pPr>
              <w:tabs>
                <w:tab w:val="left" w:pos="1849"/>
              </w:tabs>
              <w:spacing w:line="360" w:lineRule="auto"/>
            </w:pPr>
            <w:r>
              <w:t>Proctor utilizes NIST Juror Document to verify health IT module processes and displays a notification indicating that the query for an evaluated immunization history and immunization forecast is complete but too many matches were found for the person in the query.</w:t>
            </w:r>
          </w:p>
        </w:tc>
      </w:tr>
    </w:tbl>
    <w:p w:rsidR="002D1B7C" w:rsidRPr="00D64DAF" w:rsidRDefault="002D1B7C" w:rsidP="002D1B7C"/>
    <w:p w:rsidR="002D1B7C" w:rsidRPr="008E71E5" w:rsidRDefault="002D1B7C" w:rsidP="002D1B7C">
      <w:pPr>
        <w:spacing w:line="360" w:lineRule="auto"/>
        <w:rPr>
          <w:color w:val="808080" w:themeColor="background1" w:themeShade="80"/>
        </w:rPr>
      </w:pPr>
      <w:r w:rsidRPr="008E71E5">
        <w:rPr>
          <w:color w:val="808080" w:themeColor="background1" w:themeShade="80"/>
        </w:rPr>
        <w:t>&lt;INSERT SCREEN SHOTS&gt;</w:t>
      </w:r>
    </w:p>
    <w:p w:rsidR="00640EC1" w:rsidRDefault="008E71E5" w:rsidP="002D1B7C">
      <w:pPr>
        <w:spacing w:line="360" w:lineRule="auto"/>
        <w:rPr>
          <w:color w:val="808080" w:themeColor="background1" w:themeShade="80"/>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1</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203881" w:rsidRDefault="00203881" w:rsidP="002D1B7C">
      <w:pPr>
        <w:spacing w:line="360" w:lineRule="auto"/>
        <w:rPr>
          <w:color w:val="808080" w:themeColor="background1" w:themeShade="80"/>
        </w:rPr>
      </w:pPr>
      <w:r>
        <w:rPr>
          <w:color w:val="808080" w:themeColor="background1" w:themeShade="80"/>
        </w:rPr>
        <w:t>&lt;INSERT SCREEN SHOT – Forecast Response&gt;</w:t>
      </w:r>
    </w:p>
    <w:p w:rsidR="00203881" w:rsidRDefault="00203881" w:rsidP="002D1B7C">
      <w:pPr>
        <w:spacing w:line="360" w:lineRule="auto"/>
        <w:rPr>
          <w:color w:val="808080" w:themeColor="background1" w:themeShade="80"/>
        </w:rPr>
      </w:pPr>
    </w:p>
    <w:p w:rsidR="008E71E5" w:rsidRDefault="008E71E5" w:rsidP="008E71E5">
      <w:pPr>
        <w:spacing w:line="360" w:lineRule="auto"/>
        <w:rPr>
          <w:color w:val="808080" w:themeColor="background1" w:themeShade="80"/>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2</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203881" w:rsidRDefault="00203881" w:rsidP="00203881">
      <w:pPr>
        <w:spacing w:line="360" w:lineRule="auto"/>
        <w:rPr>
          <w:color w:val="808080" w:themeColor="background1" w:themeShade="80"/>
        </w:rPr>
      </w:pPr>
      <w:r>
        <w:rPr>
          <w:color w:val="808080" w:themeColor="background1" w:themeShade="80"/>
        </w:rPr>
        <w:t>&lt;INSERT SCREEN SHOT – Forecast Response&gt;</w:t>
      </w:r>
    </w:p>
    <w:p w:rsidR="00203881" w:rsidRDefault="00203881" w:rsidP="008E71E5">
      <w:pPr>
        <w:spacing w:line="360" w:lineRule="auto"/>
        <w:rPr>
          <w:color w:val="A6A6A6" w:themeColor="background1" w:themeShade="A6"/>
        </w:rPr>
      </w:pPr>
    </w:p>
    <w:p w:rsidR="008E71E5" w:rsidRDefault="008E71E5" w:rsidP="008E71E5">
      <w:pPr>
        <w:spacing w:line="360" w:lineRule="auto"/>
        <w:rPr>
          <w:color w:val="808080" w:themeColor="background1" w:themeShade="80"/>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3</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203881" w:rsidRDefault="00203881" w:rsidP="00203881">
      <w:pPr>
        <w:spacing w:line="360" w:lineRule="auto"/>
        <w:rPr>
          <w:color w:val="808080" w:themeColor="background1" w:themeShade="80"/>
        </w:rPr>
      </w:pPr>
      <w:r>
        <w:rPr>
          <w:color w:val="808080" w:themeColor="background1" w:themeShade="80"/>
        </w:rPr>
        <w:t>&lt;INSERT SCREEN SHOT – Forecast Response</w:t>
      </w:r>
      <w:r>
        <w:rPr>
          <w:color w:val="808080" w:themeColor="background1" w:themeShade="80"/>
        </w:rPr>
        <w:t xml:space="preserve"> “No Matching Patients Found”</w:t>
      </w:r>
      <w:r>
        <w:rPr>
          <w:color w:val="808080" w:themeColor="background1" w:themeShade="80"/>
        </w:rPr>
        <w:t>&gt;</w:t>
      </w:r>
    </w:p>
    <w:p w:rsidR="00203881" w:rsidRDefault="00203881" w:rsidP="008E71E5">
      <w:pPr>
        <w:spacing w:line="360" w:lineRule="auto"/>
        <w:rPr>
          <w:color w:val="A6A6A6" w:themeColor="background1" w:themeShade="A6"/>
        </w:rPr>
      </w:pPr>
    </w:p>
    <w:p w:rsidR="008E71E5" w:rsidRDefault="008E71E5" w:rsidP="008E71E5">
      <w:pPr>
        <w:spacing w:line="360" w:lineRule="auto"/>
        <w:rPr>
          <w:color w:val="808080" w:themeColor="background1" w:themeShade="80"/>
        </w:rPr>
      </w:pPr>
      <w:r w:rsidRPr="00EB70D4">
        <w:rPr>
          <w:color w:val="808080" w:themeColor="background1" w:themeShade="80"/>
        </w:rPr>
        <w:t xml:space="preserve">&lt;INSERT </w:t>
      </w:r>
      <w:r>
        <w:rPr>
          <w:color w:val="808080" w:themeColor="background1" w:themeShade="80"/>
        </w:rPr>
        <w:t>Test Tool Report for 1.IZ-QR</w:t>
      </w:r>
      <w:r w:rsidRPr="00EB70D4">
        <w:rPr>
          <w:color w:val="808080" w:themeColor="background1" w:themeShade="80"/>
        </w:rPr>
        <w:t>-</w:t>
      </w:r>
      <w:r>
        <w:rPr>
          <w:color w:val="808080" w:themeColor="background1" w:themeShade="80"/>
        </w:rPr>
        <w:t>4</w:t>
      </w:r>
      <w:r w:rsidRPr="00EB70D4">
        <w:rPr>
          <w:color w:val="808080" w:themeColor="background1" w:themeShade="80"/>
        </w:rPr>
        <w:t>.1_</w:t>
      </w:r>
      <w:r>
        <w:rPr>
          <w:color w:val="808080" w:themeColor="background1" w:themeShade="80"/>
        </w:rPr>
        <w:t>Query_Q11_Z44</w:t>
      </w:r>
      <w:r w:rsidRPr="00EB70D4">
        <w:rPr>
          <w:color w:val="808080" w:themeColor="background1" w:themeShade="80"/>
        </w:rPr>
        <w:t xml:space="preserve"> &gt;</w:t>
      </w:r>
    </w:p>
    <w:p w:rsidR="00203881" w:rsidRDefault="00203881" w:rsidP="008E71E5">
      <w:pPr>
        <w:spacing w:line="360" w:lineRule="auto"/>
        <w:rPr>
          <w:color w:val="A6A6A6" w:themeColor="background1" w:themeShade="A6"/>
        </w:rPr>
      </w:pPr>
      <w:r>
        <w:rPr>
          <w:color w:val="808080" w:themeColor="background1" w:themeShade="80"/>
        </w:rPr>
        <w:t>&lt;INSERT SCREEN SHOT – Forecast Response “</w:t>
      </w:r>
      <w:r>
        <w:rPr>
          <w:color w:val="808080" w:themeColor="background1" w:themeShade="80"/>
        </w:rPr>
        <w:t>Too Many</w:t>
      </w:r>
      <w:r>
        <w:rPr>
          <w:color w:val="808080" w:themeColor="background1" w:themeShade="80"/>
        </w:rPr>
        <w:t xml:space="preserve"> </w:t>
      </w:r>
      <w:r>
        <w:rPr>
          <w:color w:val="808080" w:themeColor="background1" w:themeShade="80"/>
        </w:rPr>
        <w:t>Matches</w:t>
      </w:r>
      <w:r>
        <w:rPr>
          <w:color w:val="808080" w:themeColor="background1" w:themeShade="80"/>
        </w:rPr>
        <w:t xml:space="preserve"> Found”&gt;</w:t>
      </w:r>
    </w:p>
    <w:p w:rsidR="00E97C12" w:rsidRDefault="00E97C12">
      <w:pPr>
        <w:rPr>
          <w:b/>
        </w:rPr>
      </w:pPr>
      <w:r>
        <w:rPr>
          <w:bCs/>
        </w:rPr>
        <w:br w:type="page"/>
      </w:r>
    </w:p>
    <w:p w:rsidR="00362E3C" w:rsidRDefault="00362E3C" w:rsidP="00362E3C">
      <w:pPr>
        <w:pStyle w:val="Heading1"/>
      </w:pPr>
      <w:bookmarkStart w:id="10" w:name="_Appendix_A:_Testing"/>
      <w:bookmarkEnd w:id="10"/>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E066E8" w:rsidP="00362E3C">
      <w:r>
        <w:t>Rev 01</w:t>
      </w:r>
      <w:r w:rsidR="00362E3C">
        <w:t>-</w:t>
      </w:r>
      <w:r w:rsidR="00ED5E95">
        <w:t>Mar</w:t>
      </w:r>
      <w:r>
        <w:t>-2016</w:t>
      </w:r>
      <w:r w:rsidR="00362E3C">
        <w:t xml:space="preserve"> Additions</w:t>
      </w:r>
    </w:p>
    <w:p w:rsidR="00E87238" w:rsidRDefault="00E87238" w:rsidP="00F631C2">
      <w:pPr>
        <w:numPr>
          <w:ilvl w:val="0"/>
          <w:numId w:val="39"/>
        </w:numPr>
      </w:pPr>
      <w:r>
        <w:t xml:space="preserve">Some examples of valid immunization messages can be found at the site hosting the </w:t>
      </w:r>
      <w:hyperlink r:id="rId13" w:anchor="/home" w:history="1">
        <w:r w:rsidR="004E062D">
          <w:rPr>
            <w:rStyle w:val="Hyperlink"/>
            <w:rFonts w:ascii="Leelawadee UI" w:hAnsi="Leelawadee UI" w:cs="Leelawadee UI"/>
            <w:sz w:val="22"/>
            <w:szCs w:val="22"/>
          </w:rPr>
          <w:t>NIST Immunization Validation Tool</w:t>
        </w:r>
      </w:hyperlink>
      <w:r w:rsidR="004E062D">
        <w:t>.</w:t>
      </w:r>
      <w:r w:rsidR="00F631C2">
        <w:t xml:space="preserve">  </w:t>
      </w:r>
      <w:r>
        <w:t>Go to the Documentation section (select the Documentation tab in the header menu) and then scroll down to the Test Documentation section.</w:t>
      </w:r>
    </w:p>
    <w:p w:rsidR="00E87238" w:rsidRDefault="00E87238" w:rsidP="00E87238">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E87238" w:rsidRDefault="00E87238" w:rsidP="00B97047">
      <w:pPr>
        <w:ind w:left="360"/>
      </w:pPr>
    </w:p>
    <w:p w:rsidR="002A47F2" w:rsidRPr="002A47F2" w:rsidRDefault="002A47F2" w:rsidP="00E87238"/>
    <w:p w:rsidR="002A47F2" w:rsidRDefault="002A47F2" w:rsidP="002A47F2">
      <w:pPr>
        <w:pStyle w:val="ListParagraph"/>
      </w:pPr>
    </w:p>
    <w:p w:rsidR="0082280D" w:rsidRDefault="0082280D">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82280D" w:rsidRDefault="0082280D" w:rsidP="0082280D">
      <w:pPr>
        <w:rPr>
          <w:b/>
        </w:rPr>
      </w:pPr>
      <w:r>
        <w:rPr>
          <w:b/>
        </w:rPr>
        <w:t>§170.315(f</w:t>
      </w:r>
      <w:proofErr w:type="gramStart"/>
      <w:r>
        <w:rPr>
          <w:b/>
        </w:rPr>
        <w:t>)(</w:t>
      </w:r>
      <w:proofErr w:type="gramEnd"/>
      <w:r>
        <w:rPr>
          <w:b/>
        </w:rPr>
        <w:t>1) Transmission to Immunization.</w:t>
      </w:r>
    </w:p>
    <w:p w:rsidR="0082280D" w:rsidRPr="00F920BE" w:rsidRDefault="0082280D" w:rsidP="0082280D">
      <w:pPr>
        <w:ind w:left="720"/>
      </w:pPr>
      <w:r w:rsidRPr="00F920BE">
        <w:t xml:space="preserve">Technology must be able to </w:t>
      </w:r>
      <w:r>
        <w:t>create immunization information and query, access, and display an immunization history and forecast from an immunization registry.</w:t>
      </w:r>
    </w:p>
    <w:p w:rsidR="0082280D" w:rsidRPr="007774B2" w:rsidRDefault="0082280D" w:rsidP="0082280D"/>
    <w:p w:rsidR="0082280D" w:rsidRDefault="0082280D" w:rsidP="0082280D">
      <w:pPr>
        <w:ind w:left="810" w:hanging="810"/>
        <w:outlineLvl w:val="3"/>
        <w:rPr>
          <w:rFonts w:ascii="TimesNewRoman,Bold" w:hAnsi="TimesNewRoman,Bold" w:cs="TimesNewRoman,Bold"/>
          <w:bCs/>
        </w:rPr>
      </w:pPr>
      <w:r w:rsidRPr="00F32058">
        <w:rPr>
          <w:b/>
        </w:rPr>
        <w:t>§170.</w:t>
      </w:r>
      <w:r>
        <w:rPr>
          <w:b/>
        </w:rPr>
        <w:t>205(e</w:t>
      </w:r>
      <w:proofErr w:type="gramStart"/>
      <w:r w:rsidRPr="00F32058">
        <w:rPr>
          <w:b/>
        </w:rPr>
        <w:t>)</w:t>
      </w:r>
      <w:r>
        <w:rPr>
          <w:b/>
        </w:rPr>
        <w:t>(</w:t>
      </w:r>
      <w:proofErr w:type="gramEnd"/>
      <w:r>
        <w:rPr>
          <w:b/>
        </w:rPr>
        <w:t>4</w:t>
      </w:r>
      <w:r w:rsidRPr="00F32058">
        <w:rPr>
          <w:b/>
        </w:rPr>
        <w:t>).</w:t>
      </w:r>
      <w:r w:rsidRPr="00F32058">
        <w:rPr>
          <w:rFonts w:ascii="TimesNewRoman,Bold" w:hAnsi="TimesNewRoman,Bold" w:cs="TimesNewRoman,Bold"/>
          <w:b/>
          <w:bCs/>
        </w:rPr>
        <w:t xml:space="preserve"> </w:t>
      </w:r>
      <w:r>
        <w:rPr>
          <w:rFonts w:ascii="TimesNewRoman,Bold" w:hAnsi="TimesNewRoman,Bold" w:cs="TimesNewRoman,Bold"/>
          <w:b/>
          <w:bCs/>
        </w:rPr>
        <w:t xml:space="preserve">Standard. </w:t>
      </w:r>
      <w:r w:rsidRPr="00FF5139">
        <w:rPr>
          <w:rFonts w:ascii="TimesNewRoman,Bold" w:hAnsi="TimesNewRoman,Bold" w:cs="TimesNewRoman,Bold"/>
          <w:bCs/>
        </w:rPr>
        <w:t>HL7 2.5.1</w:t>
      </w:r>
      <w:r>
        <w:rPr>
          <w:rFonts w:ascii="TimesNewRoman,Bold" w:hAnsi="TimesNewRoman,Bold" w:cs="TimesNewRoman,Bold"/>
          <w:bCs/>
        </w:rPr>
        <w:t>.</w:t>
      </w:r>
      <w:r w:rsidRPr="00FF5139">
        <w:rPr>
          <w:rFonts w:ascii="TimesNewRoman,Bold" w:hAnsi="TimesNewRoman,Bold" w:cs="TimesNewRoman,Bold"/>
          <w:bCs/>
        </w:rPr>
        <w:t xml:space="preserve"> Implementation </w:t>
      </w:r>
      <w:r>
        <w:rPr>
          <w:rFonts w:ascii="TimesNewRoman,Bold" w:hAnsi="TimesNewRoman,Bold" w:cs="TimesNewRoman,Bold"/>
          <w:bCs/>
        </w:rPr>
        <w:t xml:space="preserve">Specifications. HL7 2.5.1 Implementation </w:t>
      </w:r>
      <w:r w:rsidRPr="00FF5139">
        <w:rPr>
          <w:rFonts w:ascii="TimesNewRoman,Bold" w:hAnsi="TimesNewRoman,Bold" w:cs="TimesNewRoman,Bold"/>
          <w:bCs/>
        </w:rPr>
        <w:t>Guide for Immunization Messaging, Release 1.5</w:t>
      </w:r>
      <w:r>
        <w:rPr>
          <w:rFonts w:ascii="TimesNewRoman,Bold" w:hAnsi="TimesNewRoman,Bold" w:cs="TimesNewRoman,Bold"/>
          <w:bCs/>
        </w:rPr>
        <w:t xml:space="preserve"> and HL7 version 2.5.1 Implementation </w:t>
      </w:r>
      <w:r w:rsidRPr="00FF5139">
        <w:rPr>
          <w:rFonts w:ascii="TimesNewRoman,Bold" w:hAnsi="TimesNewRoman,Bold" w:cs="TimesNewRoman,Bold"/>
          <w:bCs/>
        </w:rPr>
        <w:t>Guide for</w:t>
      </w:r>
      <w:r>
        <w:rPr>
          <w:rFonts w:ascii="TimesNewRoman,Bold" w:hAnsi="TimesNewRoman,Bold" w:cs="TimesNewRoman,Bold"/>
          <w:bCs/>
        </w:rPr>
        <w:t xml:space="preserve"> Immunization Message (Release 1.5) -Addendum July 2015.</w:t>
      </w:r>
    </w:p>
    <w:p w:rsidR="0082280D" w:rsidRDefault="0082280D" w:rsidP="0082280D">
      <w:pPr>
        <w:ind w:left="810" w:hanging="810"/>
        <w:outlineLvl w:val="3"/>
      </w:pPr>
    </w:p>
    <w:p w:rsidR="0082280D" w:rsidRPr="006C2F75" w:rsidRDefault="0082280D" w:rsidP="0082280D">
      <w:pPr>
        <w:ind w:left="810" w:hanging="810"/>
        <w:outlineLvl w:val="3"/>
        <w:rPr>
          <w:b/>
        </w:rPr>
      </w:pPr>
      <w:r w:rsidRPr="00F32058">
        <w:rPr>
          <w:b/>
        </w:rPr>
        <w:t>§170.</w:t>
      </w:r>
      <w:r>
        <w:rPr>
          <w:b/>
        </w:rPr>
        <w:t>207(e</w:t>
      </w:r>
      <w:proofErr w:type="gramStart"/>
      <w:r w:rsidRPr="00F32058">
        <w:rPr>
          <w:b/>
        </w:rPr>
        <w:t>)</w:t>
      </w:r>
      <w:r>
        <w:rPr>
          <w:b/>
        </w:rPr>
        <w:t>(</w:t>
      </w:r>
      <w:proofErr w:type="gramEnd"/>
      <w:r>
        <w:rPr>
          <w:b/>
        </w:rPr>
        <w:t>3</w:t>
      </w:r>
      <w:r w:rsidRPr="00F32058">
        <w:rPr>
          <w:b/>
        </w:rPr>
        <w:t>).</w:t>
      </w:r>
      <w:r>
        <w:rPr>
          <w:b/>
        </w:rPr>
        <w:t xml:space="preserve"> </w:t>
      </w:r>
      <w:r w:rsidRPr="006C2F75">
        <w:t xml:space="preserve">Standard. HL7 Standard Code Set CVX—Vaccines Administered, updates through </w:t>
      </w:r>
      <w:r>
        <w:t>August 17</w:t>
      </w:r>
      <w:r w:rsidRPr="006C2F75">
        <w:t>, 2015.</w:t>
      </w:r>
    </w:p>
    <w:p w:rsidR="0082280D" w:rsidRDefault="0082280D" w:rsidP="0082280D">
      <w:pPr>
        <w:autoSpaceDE w:val="0"/>
        <w:autoSpaceDN w:val="0"/>
        <w:adjustRightInd w:val="0"/>
        <w:rPr>
          <w:b/>
        </w:rPr>
      </w:pPr>
    </w:p>
    <w:p w:rsidR="0082280D" w:rsidRPr="00F32058" w:rsidRDefault="0082280D" w:rsidP="0082280D">
      <w:pPr>
        <w:ind w:left="810" w:hanging="810"/>
        <w:outlineLvl w:val="3"/>
      </w:pPr>
      <w:r w:rsidRPr="00F32058">
        <w:rPr>
          <w:b/>
        </w:rPr>
        <w:t>§170.</w:t>
      </w:r>
      <w:r>
        <w:rPr>
          <w:b/>
        </w:rPr>
        <w:t>207(e</w:t>
      </w:r>
      <w:proofErr w:type="gramStart"/>
      <w:r w:rsidRPr="00F32058">
        <w:rPr>
          <w:b/>
        </w:rPr>
        <w:t>)</w:t>
      </w:r>
      <w:r>
        <w:rPr>
          <w:b/>
        </w:rPr>
        <w:t>(</w:t>
      </w:r>
      <w:proofErr w:type="gramEnd"/>
      <w:r>
        <w:rPr>
          <w:b/>
        </w:rPr>
        <w:t>4</w:t>
      </w:r>
      <w:r w:rsidRPr="00F32058">
        <w:rPr>
          <w:b/>
        </w:rPr>
        <w:t>).</w:t>
      </w:r>
      <w:r>
        <w:rPr>
          <w:b/>
        </w:rPr>
        <w:t xml:space="preserve"> </w:t>
      </w:r>
      <w:r>
        <w:t>Standard. National Drug Code Directory (NDC) – Vaccine NDC Linker, updates through August 17, 2015.</w:t>
      </w:r>
    </w:p>
    <w:p w:rsidR="0082280D" w:rsidRDefault="0082280D" w:rsidP="0082280D">
      <w:pPr>
        <w:ind w:left="1440"/>
      </w:pPr>
    </w:p>
    <w:p w:rsidR="009C6BF9" w:rsidRDefault="009C6BF9" w:rsidP="00362E3C"/>
    <w:p w:rsidR="0009560A" w:rsidRDefault="0009560A" w:rsidP="00474E2A"/>
    <w:p w:rsidR="0009560A" w:rsidRDefault="0009560A"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13" w:name="_Toc432066412"/>
      <w:bookmarkEnd w:id="4"/>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307934">
        <w:tc>
          <w:tcPr>
            <w:tcW w:w="2052" w:type="dxa"/>
          </w:tcPr>
          <w:p w:rsidR="00362E3C" w:rsidRDefault="00362E3C" w:rsidP="004A3AA7">
            <w:r>
              <w:t>Revision</w:t>
            </w:r>
          </w:p>
        </w:tc>
        <w:tc>
          <w:tcPr>
            <w:tcW w:w="6578" w:type="dxa"/>
          </w:tcPr>
          <w:p w:rsidR="00362E3C" w:rsidRDefault="00362E3C" w:rsidP="004A3AA7">
            <w:r>
              <w:t>Change Description</w:t>
            </w:r>
          </w:p>
        </w:tc>
      </w:tr>
      <w:tr w:rsidR="00362E3C" w:rsidTr="00307934">
        <w:tc>
          <w:tcPr>
            <w:tcW w:w="2052" w:type="dxa"/>
          </w:tcPr>
          <w:p w:rsidR="00362E3C" w:rsidRDefault="005B4FDF" w:rsidP="00C26224">
            <w:r>
              <w:t>03-Apr-2017</w:t>
            </w:r>
          </w:p>
        </w:tc>
        <w:tc>
          <w:tcPr>
            <w:tcW w:w="6578" w:type="dxa"/>
          </w:tcPr>
          <w:p w:rsidR="00362E3C" w:rsidRDefault="005B4FDF" w:rsidP="005F2C27">
            <w:r>
              <w:t>Co</w:t>
            </w:r>
            <w:r w:rsidR="005F2C27">
              <w:t>nsolidated</w:t>
            </w:r>
            <w:r>
              <w:t xml:space="preserve"> sections to include acknowledgements and forecast responses.</w:t>
            </w:r>
          </w:p>
        </w:tc>
      </w:tr>
      <w:tr w:rsidR="005B4FDF" w:rsidTr="00307934">
        <w:tc>
          <w:tcPr>
            <w:tcW w:w="2052" w:type="dxa"/>
          </w:tcPr>
          <w:p w:rsidR="005B4FDF" w:rsidRDefault="005B4FDF" w:rsidP="005B4FDF">
            <w:r>
              <w:t>01-Nov-2016</w:t>
            </w:r>
          </w:p>
        </w:tc>
        <w:tc>
          <w:tcPr>
            <w:tcW w:w="6578" w:type="dxa"/>
          </w:tcPr>
          <w:p w:rsidR="005B4FDF" w:rsidRDefault="005B4FDF" w:rsidP="005B4FDF">
            <w:r>
              <w:t>Corrected number of test patients from 10 to 8 in Test Data section.</w:t>
            </w:r>
          </w:p>
        </w:tc>
      </w:tr>
      <w:tr w:rsidR="005B4FDF" w:rsidTr="00307934">
        <w:tc>
          <w:tcPr>
            <w:tcW w:w="2052" w:type="dxa"/>
          </w:tcPr>
          <w:p w:rsidR="005B4FDF" w:rsidRDefault="005B4FDF" w:rsidP="005B4FDF">
            <w:r>
              <w:t>01-Mar-2016</w:t>
            </w:r>
          </w:p>
        </w:tc>
        <w:tc>
          <w:tcPr>
            <w:tcW w:w="6578" w:type="dxa"/>
          </w:tcPr>
          <w:p w:rsidR="005B4FDF" w:rsidRDefault="005B4FDF" w:rsidP="005B4FDF">
            <w:r>
              <w:t>Initial Release.</w:t>
            </w:r>
          </w:p>
        </w:tc>
      </w:tr>
      <w:tr w:rsidR="005B4FDF" w:rsidTr="00307934">
        <w:tc>
          <w:tcPr>
            <w:tcW w:w="2052" w:type="dxa"/>
          </w:tcPr>
          <w:p w:rsidR="005B4FDF" w:rsidRDefault="005B4FDF" w:rsidP="005B4FDF"/>
        </w:tc>
        <w:tc>
          <w:tcPr>
            <w:tcW w:w="6578" w:type="dxa"/>
          </w:tcPr>
          <w:p w:rsidR="005B4FDF" w:rsidRDefault="005B4FDF" w:rsidP="005B4FDF"/>
        </w:tc>
      </w:tr>
      <w:tr w:rsidR="005B4FDF" w:rsidTr="00307934">
        <w:tc>
          <w:tcPr>
            <w:tcW w:w="2052" w:type="dxa"/>
          </w:tcPr>
          <w:p w:rsidR="005B4FDF" w:rsidRDefault="005B4FDF" w:rsidP="005B4FDF"/>
        </w:tc>
        <w:tc>
          <w:tcPr>
            <w:tcW w:w="6578" w:type="dxa"/>
          </w:tcPr>
          <w:p w:rsidR="005B4FDF" w:rsidRDefault="005B4FDF" w:rsidP="005B4FDF"/>
        </w:tc>
      </w:tr>
      <w:tr w:rsidR="005B4FDF" w:rsidTr="00307934">
        <w:tc>
          <w:tcPr>
            <w:tcW w:w="2052" w:type="dxa"/>
          </w:tcPr>
          <w:p w:rsidR="005B4FDF" w:rsidRDefault="005B4FDF" w:rsidP="005B4FDF"/>
        </w:tc>
        <w:tc>
          <w:tcPr>
            <w:tcW w:w="6578" w:type="dxa"/>
          </w:tcPr>
          <w:p w:rsidR="005B4FDF" w:rsidRDefault="005B4FDF" w:rsidP="005B4FDF"/>
        </w:tc>
      </w:tr>
      <w:tr w:rsidR="005B4FDF" w:rsidTr="00307934">
        <w:tc>
          <w:tcPr>
            <w:tcW w:w="2052" w:type="dxa"/>
          </w:tcPr>
          <w:p w:rsidR="005B4FDF" w:rsidRDefault="005B4FDF" w:rsidP="005B4FDF"/>
        </w:tc>
        <w:tc>
          <w:tcPr>
            <w:tcW w:w="6578" w:type="dxa"/>
          </w:tcPr>
          <w:p w:rsidR="005B4FDF" w:rsidRDefault="005B4FDF" w:rsidP="005B4FDF"/>
        </w:tc>
      </w:tr>
      <w:tr w:rsidR="005B4FDF" w:rsidTr="00307934">
        <w:tc>
          <w:tcPr>
            <w:tcW w:w="2052" w:type="dxa"/>
          </w:tcPr>
          <w:p w:rsidR="005B4FDF" w:rsidRDefault="005B4FDF" w:rsidP="005B4FDF"/>
        </w:tc>
        <w:tc>
          <w:tcPr>
            <w:tcW w:w="6578" w:type="dxa"/>
          </w:tcPr>
          <w:p w:rsidR="005B4FDF" w:rsidRDefault="005B4FDF" w:rsidP="005B4FDF"/>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301748">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6"/>
      <w:headerReference w:type="default" r:id="rId17"/>
      <w:footerReference w:type="default" r:id="rId18"/>
      <w:head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77" w:rsidRDefault="00211777">
      <w:r>
        <w:separator/>
      </w:r>
    </w:p>
  </w:endnote>
  <w:endnote w:type="continuationSeparator" w:id="0">
    <w:p w:rsidR="00211777" w:rsidRDefault="00211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224" w:rsidRDefault="00C26224" w:rsidP="00C26224">
    <w:pPr>
      <w:pStyle w:val="Footer"/>
      <w:jc w:val="right"/>
      <w:rPr>
        <w:b/>
        <w:color w:val="000000"/>
        <w:sz w:val="16"/>
        <w:szCs w:val="16"/>
      </w:rPr>
    </w:pPr>
    <w:r>
      <w:rPr>
        <w:b/>
        <w:color w:val="000000"/>
        <w:sz w:val="16"/>
        <w:szCs w:val="16"/>
      </w:rPr>
      <w:t>Rev.: 0</w:t>
    </w:r>
    <w:r w:rsidR="005B4FDF">
      <w:rPr>
        <w:b/>
        <w:color w:val="000000"/>
        <w:sz w:val="16"/>
        <w:szCs w:val="16"/>
      </w:rPr>
      <w:t>3Apr2017</w:t>
    </w:r>
  </w:p>
  <w:p w:rsidR="00C26224" w:rsidRDefault="00C26224" w:rsidP="00C26224">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186010">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186010">
      <w:rPr>
        <w:b/>
        <w:noProof/>
        <w:sz w:val="16"/>
        <w:szCs w:val="16"/>
      </w:rPr>
      <w:t>14</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77" w:rsidRDefault="00211777">
      <w:r>
        <w:separator/>
      </w:r>
    </w:p>
  </w:footnote>
  <w:footnote w:type="continuationSeparator" w:id="0">
    <w:p w:rsidR="00211777" w:rsidRDefault="00211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11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211777"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F73D0">
      <w:rPr>
        <w:b/>
        <w:color w:val="000000"/>
      </w:rPr>
      <w:t>170.31</w:t>
    </w:r>
    <w:r w:rsidR="00B21AF4">
      <w:rPr>
        <w:b/>
        <w:color w:val="000000"/>
      </w:rPr>
      <w:t>5</w:t>
    </w:r>
    <w:proofErr w:type="gramStart"/>
    <w:r w:rsidR="00B21AF4">
      <w:rPr>
        <w:b/>
        <w:color w:val="000000"/>
      </w:rPr>
      <w:t>.f.1</w:t>
    </w:r>
    <w:proofErr w:type="gramEnd"/>
    <w:r w:rsidR="00B21AF4">
      <w:rPr>
        <w:b/>
        <w:color w:val="000000"/>
      </w:rPr>
      <w:t xml:space="preserve"> Transmission to Immunization Registries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211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0B72F4"/>
    <w:multiLevelType w:val="hybridMultilevel"/>
    <w:tmpl w:val="72BA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DF48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2F542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B012784"/>
    <w:multiLevelType w:val="hybridMultilevel"/>
    <w:tmpl w:val="630EAF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0"/>
  </w:num>
  <w:num w:numId="6">
    <w:abstractNumId w:val="7"/>
  </w:num>
  <w:num w:numId="7">
    <w:abstractNumId w:val="9"/>
  </w:num>
  <w:num w:numId="8">
    <w:abstractNumId w:val="27"/>
  </w:num>
  <w:num w:numId="9">
    <w:abstractNumId w:val="10"/>
  </w:num>
  <w:num w:numId="10">
    <w:abstractNumId w:val="26"/>
  </w:num>
  <w:num w:numId="11">
    <w:abstractNumId w:val="4"/>
  </w:num>
  <w:num w:numId="12">
    <w:abstractNumId w:val="24"/>
  </w:num>
  <w:num w:numId="13">
    <w:abstractNumId w:val="19"/>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3"/>
  </w:num>
  <w:num w:numId="24">
    <w:abstractNumId w:val="21"/>
  </w:num>
  <w:num w:numId="25">
    <w:abstractNumId w:val="22"/>
  </w:num>
  <w:num w:numId="26">
    <w:abstractNumId w:val="40"/>
  </w:num>
  <w:num w:numId="27">
    <w:abstractNumId w:val="25"/>
  </w:num>
  <w:num w:numId="28">
    <w:abstractNumId w:val="36"/>
  </w:num>
  <w:num w:numId="29">
    <w:abstractNumId w:val="17"/>
  </w:num>
  <w:num w:numId="30">
    <w:abstractNumId w:val="11"/>
  </w:num>
  <w:num w:numId="31">
    <w:abstractNumId w:val="3"/>
  </w:num>
  <w:num w:numId="32">
    <w:abstractNumId w:val="0"/>
  </w:num>
  <w:num w:numId="33">
    <w:abstractNumId w:val="32"/>
  </w:num>
  <w:num w:numId="34">
    <w:abstractNumId w:val="8"/>
  </w:num>
  <w:num w:numId="35">
    <w:abstractNumId w:val="39"/>
  </w:num>
  <w:num w:numId="36">
    <w:abstractNumId w:val="18"/>
  </w:num>
  <w:num w:numId="37">
    <w:abstractNumId w:val="34"/>
  </w:num>
  <w:num w:numId="38">
    <w:abstractNumId w:val="30"/>
  </w:num>
  <w:num w:numId="39">
    <w:abstractNumId w:val="15"/>
  </w:num>
  <w:num w:numId="40">
    <w:abstractNumId w:val="5"/>
  </w:num>
  <w:num w:numId="41">
    <w:abstractNumId w:val="3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5DF5"/>
    <w:rsid w:val="00017B5D"/>
    <w:rsid w:val="00017ED2"/>
    <w:rsid w:val="00023BE3"/>
    <w:rsid w:val="00027433"/>
    <w:rsid w:val="00031661"/>
    <w:rsid w:val="00031CC0"/>
    <w:rsid w:val="00033396"/>
    <w:rsid w:val="0003750C"/>
    <w:rsid w:val="0004290B"/>
    <w:rsid w:val="000449FC"/>
    <w:rsid w:val="000466CB"/>
    <w:rsid w:val="00046795"/>
    <w:rsid w:val="00050263"/>
    <w:rsid w:val="00050F36"/>
    <w:rsid w:val="000545E6"/>
    <w:rsid w:val="00055538"/>
    <w:rsid w:val="00055576"/>
    <w:rsid w:val="00062EDB"/>
    <w:rsid w:val="000638E6"/>
    <w:rsid w:val="00063DD0"/>
    <w:rsid w:val="00065309"/>
    <w:rsid w:val="000656BA"/>
    <w:rsid w:val="00070F1A"/>
    <w:rsid w:val="000718AD"/>
    <w:rsid w:val="00072A79"/>
    <w:rsid w:val="00075C49"/>
    <w:rsid w:val="0007769F"/>
    <w:rsid w:val="00080E51"/>
    <w:rsid w:val="0008384D"/>
    <w:rsid w:val="0008418A"/>
    <w:rsid w:val="00090059"/>
    <w:rsid w:val="00092310"/>
    <w:rsid w:val="0009560A"/>
    <w:rsid w:val="00097CD4"/>
    <w:rsid w:val="000A27DD"/>
    <w:rsid w:val="000A2D31"/>
    <w:rsid w:val="000A4D9A"/>
    <w:rsid w:val="000A4DA2"/>
    <w:rsid w:val="000A62A6"/>
    <w:rsid w:val="000A75D8"/>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3161"/>
    <w:rsid w:val="00124587"/>
    <w:rsid w:val="00127916"/>
    <w:rsid w:val="00133301"/>
    <w:rsid w:val="0013504F"/>
    <w:rsid w:val="00136BE0"/>
    <w:rsid w:val="001416B2"/>
    <w:rsid w:val="0014729D"/>
    <w:rsid w:val="001552A1"/>
    <w:rsid w:val="00157882"/>
    <w:rsid w:val="00161A53"/>
    <w:rsid w:val="00165103"/>
    <w:rsid w:val="0016601F"/>
    <w:rsid w:val="0016765A"/>
    <w:rsid w:val="00172C28"/>
    <w:rsid w:val="00174D10"/>
    <w:rsid w:val="00181021"/>
    <w:rsid w:val="00183B1B"/>
    <w:rsid w:val="00186010"/>
    <w:rsid w:val="00190714"/>
    <w:rsid w:val="0019445A"/>
    <w:rsid w:val="00194A76"/>
    <w:rsid w:val="0019552B"/>
    <w:rsid w:val="001A300F"/>
    <w:rsid w:val="001A31D8"/>
    <w:rsid w:val="001A3393"/>
    <w:rsid w:val="001A55F0"/>
    <w:rsid w:val="001A7287"/>
    <w:rsid w:val="001A7BFA"/>
    <w:rsid w:val="001B0112"/>
    <w:rsid w:val="001B2F8A"/>
    <w:rsid w:val="001B713D"/>
    <w:rsid w:val="001C0252"/>
    <w:rsid w:val="001C23FD"/>
    <w:rsid w:val="001D1BE5"/>
    <w:rsid w:val="001D1F57"/>
    <w:rsid w:val="001D5BA8"/>
    <w:rsid w:val="001D6341"/>
    <w:rsid w:val="001E3197"/>
    <w:rsid w:val="001E5F28"/>
    <w:rsid w:val="002015BB"/>
    <w:rsid w:val="00203881"/>
    <w:rsid w:val="0020410A"/>
    <w:rsid w:val="002056F0"/>
    <w:rsid w:val="00207377"/>
    <w:rsid w:val="00207BB2"/>
    <w:rsid w:val="00211777"/>
    <w:rsid w:val="0022327B"/>
    <w:rsid w:val="00226075"/>
    <w:rsid w:val="00227D2E"/>
    <w:rsid w:val="00230E45"/>
    <w:rsid w:val="00231CBE"/>
    <w:rsid w:val="002342CF"/>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6EA5"/>
    <w:rsid w:val="00257318"/>
    <w:rsid w:val="00262742"/>
    <w:rsid w:val="0027195F"/>
    <w:rsid w:val="0027369D"/>
    <w:rsid w:val="002749C1"/>
    <w:rsid w:val="00274B21"/>
    <w:rsid w:val="002806B4"/>
    <w:rsid w:val="0028223B"/>
    <w:rsid w:val="00282D9B"/>
    <w:rsid w:val="00286729"/>
    <w:rsid w:val="00287F3D"/>
    <w:rsid w:val="00294DBF"/>
    <w:rsid w:val="00297D31"/>
    <w:rsid w:val="002A47F2"/>
    <w:rsid w:val="002A7026"/>
    <w:rsid w:val="002B41B2"/>
    <w:rsid w:val="002B594B"/>
    <w:rsid w:val="002B6A1B"/>
    <w:rsid w:val="002C15F7"/>
    <w:rsid w:val="002C1C10"/>
    <w:rsid w:val="002C7559"/>
    <w:rsid w:val="002D1B7C"/>
    <w:rsid w:val="002D50A7"/>
    <w:rsid w:val="002E3C26"/>
    <w:rsid w:val="002F155B"/>
    <w:rsid w:val="002F4A2E"/>
    <w:rsid w:val="002F7958"/>
    <w:rsid w:val="00300946"/>
    <w:rsid w:val="00301748"/>
    <w:rsid w:val="00301CF8"/>
    <w:rsid w:val="0030412A"/>
    <w:rsid w:val="00304DF3"/>
    <w:rsid w:val="00304E70"/>
    <w:rsid w:val="00305F76"/>
    <w:rsid w:val="00307934"/>
    <w:rsid w:val="00312127"/>
    <w:rsid w:val="00312AFC"/>
    <w:rsid w:val="00332F85"/>
    <w:rsid w:val="00333E8D"/>
    <w:rsid w:val="00336EDC"/>
    <w:rsid w:val="0034174D"/>
    <w:rsid w:val="00347368"/>
    <w:rsid w:val="00351967"/>
    <w:rsid w:val="00356A25"/>
    <w:rsid w:val="00360499"/>
    <w:rsid w:val="00361501"/>
    <w:rsid w:val="00362E3C"/>
    <w:rsid w:val="00363215"/>
    <w:rsid w:val="003672AF"/>
    <w:rsid w:val="003737F0"/>
    <w:rsid w:val="00373A76"/>
    <w:rsid w:val="00390BF2"/>
    <w:rsid w:val="00394B5F"/>
    <w:rsid w:val="00395193"/>
    <w:rsid w:val="00397900"/>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4761"/>
    <w:rsid w:val="003E619D"/>
    <w:rsid w:val="003E626B"/>
    <w:rsid w:val="003E72FF"/>
    <w:rsid w:val="003F30B4"/>
    <w:rsid w:val="003F3F51"/>
    <w:rsid w:val="003F40A8"/>
    <w:rsid w:val="003F51CC"/>
    <w:rsid w:val="003F62E0"/>
    <w:rsid w:val="003F6768"/>
    <w:rsid w:val="00401F00"/>
    <w:rsid w:val="0040387A"/>
    <w:rsid w:val="0041020F"/>
    <w:rsid w:val="004151F1"/>
    <w:rsid w:val="00415F8E"/>
    <w:rsid w:val="0041731B"/>
    <w:rsid w:val="004208AA"/>
    <w:rsid w:val="00423BE9"/>
    <w:rsid w:val="00425817"/>
    <w:rsid w:val="00432ED8"/>
    <w:rsid w:val="00433A78"/>
    <w:rsid w:val="00445293"/>
    <w:rsid w:val="00450818"/>
    <w:rsid w:val="004544CB"/>
    <w:rsid w:val="00460A87"/>
    <w:rsid w:val="004634F0"/>
    <w:rsid w:val="004748BF"/>
    <w:rsid w:val="00474E2A"/>
    <w:rsid w:val="00477E14"/>
    <w:rsid w:val="00482574"/>
    <w:rsid w:val="0048258F"/>
    <w:rsid w:val="00482BAD"/>
    <w:rsid w:val="00483CCA"/>
    <w:rsid w:val="004867EA"/>
    <w:rsid w:val="00496099"/>
    <w:rsid w:val="00496E55"/>
    <w:rsid w:val="004A01D2"/>
    <w:rsid w:val="004A3AA7"/>
    <w:rsid w:val="004A6BA7"/>
    <w:rsid w:val="004A6DF6"/>
    <w:rsid w:val="004A7C8A"/>
    <w:rsid w:val="004B035E"/>
    <w:rsid w:val="004B12F3"/>
    <w:rsid w:val="004B1EBD"/>
    <w:rsid w:val="004B364F"/>
    <w:rsid w:val="004B404D"/>
    <w:rsid w:val="004C1AC2"/>
    <w:rsid w:val="004C251E"/>
    <w:rsid w:val="004C3732"/>
    <w:rsid w:val="004C47B5"/>
    <w:rsid w:val="004C6907"/>
    <w:rsid w:val="004D2E7F"/>
    <w:rsid w:val="004D45F3"/>
    <w:rsid w:val="004E062D"/>
    <w:rsid w:val="004E2152"/>
    <w:rsid w:val="004E35BA"/>
    <w:rsid w:val="004E392E"/>
    <w:rsid w:val="004E5323"/>
    <w:rsid w:val="004E565C"/>
    <w:rsid w:val="004E5BF8"/>
    <w:rsid w:val="004F04A1"/>
    <w:rsid w:val="004F2529"/>
    <w:rsid w:val="004F56BB"/>
    <w:rsid w:val="00500B86"/>
    <w:rsid w:val="00507022"/>
    <w:rsid w:val="005076D1"/>
    <w:rsid w:val="00512208"/>
    <w:rsid w:val="00526D00"/>
    <w:rsid w:val="005331EB"/>
    <w:rsid w:val="00534CDF"/>
    <w:rsid w:val="00535B6C"/>
    <w:rsid w:val="0054058F"/>
    <w:rsid w:val="005466DC"/>
    <w:rsid w:val="00551824"/>
    <w:rsid w:val="00552652"/>
    <w:rsid w:val="00560ECA"/>
    <w:rsid w:val="00562510"/>
    <w:rsid w:val="00566FE3"/>
    <w:rsid w:val="00570710"/>
    <w:rsid w:val="00571AD3"/>
    <w:rsid w:val="005769DE"/>
    <w:rsid w:val="00583CB0"/>
    <w:rsid w:val="00586597"/>
    <w:rsid w:val="00586615"/>
    <w:rsid w:val="005959FD"/>
    <w:rsid w:val="0059752C"/>
    <w:rsid w:val="005A04CF"/>
    <w:rsid w:val="005A27CE"/>
    <w:rsid w:val="005A5CC3"/>
    <w:rsid w:val="005A5CD8"/>
    <w:rsid w:val="005A7C4F"/>
    <w:rsid w:val="005B1322"/>
    <w:rsid w:val="005B4FDF"/>
    <w:rsid w:val="005B5F88"/>
    <w:rsid w:val="005C3EC4"/>
    <w:rsid w:val="005C41F3"/>
    <w:rsid w:val="005C4620"/>
    <w:rsid w:val="005C523F"/>
    <w:rsid w:val="005C7B0B"/>
    <w:rsid w:val="005D24DB"/>
    <w:rsid w:val="005D5D09"/>
    <w:rsid w:val="005D7DAE"/>
    <w:rsid w:val="005E28F5"/>
    <w:rsid w:val="005E2A61"/>
    <w:rsid w:val="005E4463"/>
    <w:rsid w:val="005E5B86"/>
    <w:rsid w:val="005F020C"/>
    <w:rsid w:val="005F2C27"/>
    <w:rsid w:val="005F4354"/>
    <w:rsid w:val="005F5A97"/>
    <w:rsid w:val="005F5DA0"/>
    <w:rsid w:val="00601A68"/>
    <w:rsid w:val="0060621F"/>
    <w:rsid w:val="00606DE9"/>
    <w:rsid w:val="00615170"/>
    <w:rsid w:val="006162CA"/>
    <w:rsid w:val="00623A7A"/>
    <w:rsid w:val="0062750E"/>
    <w:rsid w:val="00630251"/>
    <w:rsid w:val="00632B41"/>
    <w:rsid w:val="00634649"/>
    <w:rsid w:val="00640EC1"/>
    <w:rsid w:val="00641425"/>
    <w:rsid w:val="006475F2"/>
    <w:rsid w:val="00652336"/>
    <w:rsid w:val="00652384"/>
    <w:rsid w:val="006528BF"/>
    <w:rsid w:val="00652D34"/>
    <w:rsid w:val="006535E9"/>
    <w:rsid w:val="00654463"/>
    <w:rsid w:val="00661363"/>
    <w:rsid w:val="006614C7"/>
    <w:rsid w:val="0066530B"/>
    <w:rsid w:val="00665435"/>
    <w:rsid w:val="00666020"/>
    <w:rsid w:val="00667AA7"/>
    <w:rsid w:val="00670062"/>
    <w:rsid w:val="00670919"/>
    <w:rsid w:val="00671ECB"/>
    <w:rsid w:val="00672C37"/>
    <w:rsid w:val="00674AFC"/>
    <w:rsid w:val="00683B3F"/>
    <w:rsid w:val="006853FE"/>
    <w:rsid w:val="00691FA6"/>
    <w:rsid w:val="006922E2"/>
    <w:rsid w:val="00693AFE"/>
    <w:rsid w:val="006A4EB1"/>
    <w:rsid w:val="006A5B3D"/>
    <w:rsid w:val="006A5DFF"/>
    <w:rsid w:val="006A5F3F"/>
    <w:rsid w:val="006A7A57"/>
    <w:rsid w:val="006B0544"/>
    <w:rsid w:val="006B05CF"/>
    <w:rsid w:val="006B353C"/>
    <w:rsid w:val="006B35C5"/>
    <w:rsid w:val="006B493F"/>
    <w:rsid w:val="006B76C9"/>
    <w:rsid w:val="006C1E6B"/>
    <w:rsid w:val="006C45EA"/>
    <w:rsid w:val="006C7591"/>
    <w:rsid w:val="006D0DFD"/>
    <w:rsid w:val="006D2AE3"/>
    <w:rsid w:val="006D3A92"/>
    <w:rsid w:val="006D54F9"/>
    <w:rsid w:val="006E0446"/>
    <w:rsid w:val="006E4732"/>
    <w:rsid w:val="006E4FC6"/>
    <w:rsid w:val="006F07EF"/>
    <w:rsid w:val="006F1AD9"/>
    <w:rsid w:val="007005EE"/>
    <w:rsid w:val="00700BF6"/>
    <w:rsid w:val="007037A4"/>
    <w:rsid w:val="00704C2B"/>
    <w:rsid w:val="007050D8"/>
    <w:rsid w:val="007050EA"/>
    <w:rsid w:val="0071362D"/>
    <w:rsid w:val="00714931"/>
    <w:rsid w:val="00715608"/>
    <w:rsid w:val="00722F2F"/>
    <w:rsid w:val="00726FBF"/>
    <w:rsid w:val="007277A5"/>
    <w:rsid w:val="00736D90"/>
    <w:rsid w:val="00737178"/>
    <w:rsid w:val="007464BD"/>
    <w:rsid w:val="0075038E"/>
    <w:rsid w:val="007563B5"/>
    <w:rsid w:val="007674FB"/>
    <w:rsid w:val="007678EB"/>
    <w:rsid w:val="00767AF9"/>
    <w:rsid w:val="00772372"/>
    <w:rsid w:val="00772D11"/>
    <w:rsid w:val="007764AD"/>
    <w:rsid w:val="007773B8"/>
    <w:rsid w:val="007774B2"/>
    <w:rsid w:val="00780CD5"/>
    <w:rsid w:val="00781A12"/>
    <w:rsid w:val="00782151"/>
    <w:rsid w:val="007831D4"/>
    <w:rsid w:val="0079006E"/>
    <w:rsid w:val="007902A0"/>
    <w:rsid w:val="00795D54"/>
    <w:rsid w:val="007B1182"/>
    <w:rsid w:val="007B122A"/>
    <w:rsid w:val="007B3237"/>
    <w:rsid w:val="007B44A7"/>
    <w:rsid w:val="007B5D79"/>
    <w:rsid w:val="007C040E"/>
    <w:rsid w:val="007C1766"/>
    <w:rsid w:val="007C7956"/>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280D"/>
    <w:rsid w:val="00825FAD"/>
    <w:rsid w:val="00825FBD"/>
    <w:rsid w:val="0082645E"/>
    <w:rsid w:val="00832EAA"/>
    <w:rsid w:val="008345FE"/>
    <w:rsid w:val="008474F3"/>
    <w:rsid w:val="00854D10"/>
    <w:rsid w:val="008575E2"/>
    <w:rsid w:val="008603F5"/>
    <w:rsid w:val="00863910"/>
    <w:rsid w:val="00866865"/>
    <w:rsid w:val="008711DF"/>
    <w:rsid w:val="0087425C"/>
    <w:rsid w:val="00882958"/>
    <w:rsid w:val="00882FCB"/>
    <w:rsid w:val="00885145"/>
    <w:rsid w:val="00887F0C"/>
    <w:rsid w:val="008938F2"/>
    <w:rsid w:val="00894E8A"/>
    <w:rsid w:val="00895E98"/>
    <w:rsid w:val="008A3D6B"/>
    <w:rsid w:val="008A4126"/>
    <w:rsid w:val="008A4E56"/>
    <w:rsid w:val="008A67C9"/>
    <w:rsid w:val="008A71A2"/>
    <w:rsid w:val="008B3F4F"/>
    <w:rsid w:val="008B7D72"/>
    <w:rsid w:val="008C36DD"/>
    <w:rsid w:val="008D05E6"/>
    <w:rsid w:val="008D0FC4"/>
    <w:rsid w:val="008D6DF4"/>
    <w:rsid w:val="008E71E5"/>
    <w:rsid w:val="008E7308"/>
    <w:rsid w:val="008F0CE5"/>
    <w:rsid w:val="008F5CB9"/>
    <w:rsid w:val="0090490B"/>
    <w:rsid w:val="00907F84"/>
    <w:rsid w:val="00912AB3"/>
    <w:rsid w:val="00912DB0"/>
    <w:rsid w:val="00914AAA"/>
    <w:rsid w:val="009153C8"/>
    <w:rsid w:val="00926745"/>
    <w:rsid w:val="00930946"/>
    <w:rsid w:val="009335F6"/>
    <w:rsid w:val="00940BD4"/>
    <w:rsid w:val="009503CF"/>
    <w:rsid w:val="009515CA"/>
    <w:rsid w:val="009538A5"/>
    <w:rsid w:val="00955877"/>
    <w:rsid w:val="00963829"/>
    <w:rsid w:val="00971581"/>
    <w:rsid w:val="00971B13"/>
    <w:rsid w:val="009728F8"/>
    <w:rsid w:val="00974C2E"/>
    <w:rsid w:val="00982A06"/>
    <w:rsid w:val="00982B9F"/>
    <w:rsid w:val="0098581A"/>
    <w:rsid w:val="00987EB4"/>
    <w:rsid w:val="009901E4"/>
    <w:rsid w:val="00993C31"/>
    <w:rsid w:val="009A1685"/>
    <w:rsid w:val="009A1760"/>
    <w:rsid w:val="009A5889"/>
    <w:rsid w:val="009B1340"/>
    <w:rsid w:val="009B2190"/>
    <w:rsid w:val="009B2326"/>
    <w:rsid w:val="009B454F"/>
    <w:rsid w:val="009B73E6"/>
    <w:rsid w:val="009C34C2"/>
    <w:rsid w:val="009C6BF9"/>
    <w:rsid w:val="009D1A37"/>
    <w:rsid w:val="009D4DD5"/>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2C70"/>
    <w:rsid w:val="00A33569"/>
    <w:rsid w:val="00A369C5"/>
    <w:rsid w:val="00A42E4B"/>
    <w:rsid w:val="00A43277"/>
    <w:rsid w:val="00A436D8"/>
    <w:rsid w:val="00A44ACB"/>
    <w:rsid w:val="00A455FD"/>
    <w:rsid w:val="00A461C4"/>
    <w:rsid w:val="00A467AA"/>
    <w:rsid w:val="00A5019D"/>
    <w:rsid w:val="00A512A0"/>
    <w:rsid w:val="00A51E26"/>
    <w:rsid w:val="00A54344"/>
    <w:rsid w:val="00A54C8D"/>
    <w:rsid w:val="00A55EE0"/>
    <w:rsid w:val="00A61057"/>
    <w:rsid w:val="00A62BA3"/>
    <w:rsid w:val="00A70D15"/>
    <w:rsid w:val="00A723C9"/>
    <w:rsid w:val="00A80CE4"/>
    <w:rsid w:val="00A821F7"/>
    <w:rsid w:val="00A871EA"/>
    <w:rsid w:val="00A90F19"/>
    <w:rsid w:val="00A911A2"/>
    <w:rsid w:val="00A915B1"/>
    <w:rsid w:val="00A92B2A"/>
    <w:rsid w:val="00A9314C"/>
    <w:rsid w:val="00A95237"/>
    <w:rsid w:val="00A956A9"/>
    <w:rsid w:val="00AA1216"/>
    <w:rsid w:val="00AA3FC6"/>
    <w:rsid w:val="00AB0FEE"/>
    <w:rsid w:val="00AB3EA6"/>
    <w:rsid w:val="00AB592F"/>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1253B"/>
    <w:rsid w:val="00B14792"/>
    <w:rsid w:val="00B20D00"/>
    <w:rsid w:val="00B21AF4"/>
    <w:rsid w:val="00B24CEC"/>
    <w:rsid w:val="00B25FAC"/>
    <w:rsid w:val="00B269BD"/>
    <w:rsid w:val="00B314D7"/>
    <w:rsid w:val="00B41E40"/>
    <w:rsid w:val="00B426B3"/>
    <w:rsid w:val="00B4384F"/>
    <w:rsid w:val="00B502B4"/>
    <w:rsid w:val="00B50908"/>
    <w:rsid w:val="00B51252"/>
    <w:rsid w:val="00B5370B"/>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97047"/>
    <w:rsid w:val="00BA0EF0"/>
    <w:rsid w:val="00BA3206"/>
    <w:rsid w:val="00BA5C92"/>
    <w:rsid w:val="00BA70B9"/>
    <w:rsid w:val="00BB1011"/>
    <w:rsid w:val="00BB1C64"/>
    <w:rsid w:val="00BB1CB8"/>
    <w:rsid w:val="00BB1D21"/>
    <w:rsid w:val="00BB3A5A"/>
    <w:rsid w:val="00BB3C2E"/>
    <w:rsid w:val="00BB4842"/>
    <w:rsid w:val="00BB4AAF"/>
    <w:rsid w:val="00BB5F95"/>
    <w:rsid w:val="00BC51D3"/>
    <w:rsid w:val="00BC5F6D"/>
    <w:rsid w:val="00BD095A"/>
    <w:rsid w:val="00BD4DA7"/>
    <w:rsid w:val="00BD61F1"/>
    <w:rsid w:val="00BD737D"/>
    <w:rsid w:val="00BE0BA8"/>
    <w:rsid w:val="00BE13B4"/>
    <w:rsid w:val="00BE5907"/>
    <w:rsid w:val="00BE5E2A"/>
    <w:rsid w:val="00BE6BAD"/>
    <w:rsid w:val="00C02A12"/>
    <w:rsid w:val="00C078BB"/>
    <w:rsid w:val="00C1061A"/>
    <w:rsid w:val="00C1100C"/>
    <w:rsid w:val="00C16958"/>
    <w:rsid w:val="00C16EDE"/>
    <w:rsid w:val="00C22828"/>
    <w:rsid w:val="00C250C5"/>
    <w:rsid w:val="00C26224"/>
    <w:rsid w:val="00C3128C"/>
    <w:rsid w:val="00C3137C"/>
    <w:rsid w:val="00C34948"/>
    <w:rsid w:val="00C379BF"/>
    <w:rsid w:val="00C44E24"/>
    <w:rsid w:val="00C45CB4"/>
    <w:rsid w:val="00C501E5"/>
    <w:rsid w:val="00C52062"/>
    <w:rsid w:val="00C52EBF"/>
    <w:rsid w:val="00C57FAE"/>
    <w:rsid w:val="00C626A3"/>
    <w:rsid w:val="00C62EDC"/>
    <w:rsid w:val="00C644EA"/>
    <w:rsid w:val="00C70AA4"/>
    <w:rsid w:val="00C747CD"/>
    <w:rsid w:val="00C76B4D"/>
    <w:rsid w:val="00C8047E"/>
    <w:rsid w:val="00C80705"/>
    <w:rsid w:val="00C8076F"/>
    <w:rsid w:val="00C808A2"/>
    <w:rsid w:val="00C80B8D"/>
    <w:rsid w:val="00C812AF"/>
    <w:rsid w:val="00C813E1"/>
    <w:rsid w:val="00C82B6E"/>
    <w:rsid w:val="00C832B1"/>
    <w:rsid w:val="00C90616"/>
    <w:rsid w:val="00C91319"/>
    <w:rsid w:val="00C922A5"/>
    <w:rsid w:val="00C93FD9"/>
    <w:rsid w:val="00C95F40"/>
    <w:rsid w:val="00C96762"/>
    <w:rsid w:val="00CA2E5D"/>
    <w:rsid w:val="00CA443F"/>
    <w:rsid w:val="00CA4584"/>
    <w:rsid w:val="00CA5473"/>
    <w:rsid w:val="00CA6BB3"/>
    <w:rsid w:val="00CA7A4E"/>
    <w:rsid w:val="00CB00A7"/>
    <w:rsid w:val="00CB0B3B"/>
    <w:rsid w:val="00CB0BEB"/>
    <w:rsid w:val="00CB2A3D"/>
    <w:rsid w:val="00CB4820"/>
    <w:rsid w:val="00CB5B6F"/>
    <w:rsid w:val="00CC38C0"/>
    <w:rsid w:val="00CC5410"/>
    <w:rsid w:val="00CC708E"/>
    <w:rsid w:val="00CD4476"/>
    <w:rsid w:val="00CD4F99"/>
    <w:rsid w:val="00CD59DB"/>
    <w:rsid w:val="00CE1835"/>
    <w:rsid w:val="00CF2A93"/>
    <w:rsid w:val="00CF41F0"/>
    <w:rsid w:val="00D011F9"/>
    <w:rsid w:val="00D023F9"/>
    <w:rsid w:val="00D06160"/>
    <w:rsid w:val="00D06F8D"/>
    <w:rsid w:val="00D074BF"/>
    <w:rsid w:val="00D110AC"/>
    <w:rsid w:val="00D11214"/>
    <w:rsid w:val="00D118BC"/>
    <w:rsid w:val="00D15323"/>
    <w:rsid w:val="00D21561"/>
    <w:rsid w:val="00D22DD6"/>
    <w:rsid w:val="00D2534F"/>
    <w:rsid w:val="00D2674D"/>
    <w:rsid w:val="00D302B9"/>
    <w:rsid w:val="00D30B5F"/>
    <w:rsid w:val="00D31FAF"/>
    <w:rsid w:val="00D370AD"/>
    <w:rsid w:val="00D40B1D"/>
    <w:rsid w:val="00D42ECD"/>
    <w:rsid w:val="00D431C4"/>
    <w:rsid w:val="00D46E52"/>
    <w:rsid w:val="00D60342"/>
    <w:rsid w:val="00D62944"/>
    <w:rsid w:val="00D63A5B"/>
    <w:rsid w:val="00D66D62"/>
    <w:rsid w:val="00D702CF"/>
    <w:rsid w:val="00D71138"/>
    <w:rsid w:val="00D71179"/>
    <w:rsid w:val="00D719C6"/>
    <w:rsid w:val="00D72C85"/>
    <w:rsid w:val="00D75745"/>
    <w:rsid w:val="00D76101"/>
    <w:rsid w:val="00D80B6D"/>
    <w:rsid w:val="00D8104E"/>
    <w:rsid w:val="00D81C27"/>
    <w:rsid w:val="00D82568"/>
    <w:rsid w:val="00D85D06"/>
    <w:rsid w:val="00D8693E"/>
    <w:rsid w:val="00DA12D4"/>
    <w:rsid w:val="00DA3B2F"/>
    <w:rsid w:val="00DA5E1A"/>
    <w:rsid w:val="00DA6054"/>
    <w:rsid w:val="00DA61C1"/>
    <w:rsid w:val="00DB0B7E"/>
    <w:rsid w:val="00DB1CB2"/>
    <w:rsid w:val="00DB51C0"/>
    <w:rsid w:val="00DC0064"/>
    <w:rsid w:val="00DC014F"/>
    <w:rsid w:val="00DC0225"/>
    <w:rsid w:val="00DC07B0"/>
    <w:rsid w:val="00DC4989"/>
    <w:rsid w:val="00DC5B72"/>
    <w:rsid w:val="00DC6B16"/>
    <w:rsid w:val="00DC737C"/>
    <w:rsid w:val="00DC7D61"/>
    <w:rsid w:val="00DD01B2"/>
    <w:rsid w:val="00DD09A7"/>
    <w:rsid w:val="00DD5102"/>
    <w:rsid w:val="00DE0139"/>
    <w:rsid w:val="00DE3306"/>
    <w:rsid w:val="00DE6058"/>
    <w:rsid w:val="00DF0A99"/>
    <w:rsid w:val="00DF1EEC"/>
    <w:rsid w:val="00DF33C3"/>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E82"/>
    <w:rsid w:val="00E759BD"/>
    <w:rsid w:val="00E81C61"/>
    <w:rsid w:val="00E842CE"/>
    <w:rsid w:val="00E864EE"/>
    <w:rsid w:val="00E87238"/>
    <w:rsid w:val="00E9333B"/>
    <w:rsid w:val="00E97C12"/>
    <w:rsid w:val="00E97C6A"/>
    <w:rsid w:val="00EA042C"/>
    <w:rsid w:val="00EA1DEC"/>
    <w:rsid w:val="00EA23E5"/>
    <w:rsid w:val="00EA39CB"/>
    <w:rsid w:val="00EA7852"/>
    <w:rsid w:val="00EB2BF0"/>
    <w:rsid w:val="00EB3CC7"/>
    <w:rsid w:val="00EB56F0"/>
    <w:rsid w:val="00EB6163"/>
    <w:rsid w:val="00EB62BE"/>
    <w:rsid w:val="00EB70D4"/>
    <w:rsid w:val="00EC0A10"/>
    <w:rsid w:val="00EC0B9F"/>
    <w:rsid w:val="00EC3817"/>
    <w:rsid w:val="00EC3BE1"/>
    <w:rsid w:val="00EC4B2D"/>
    <w:rsid w:val="00EC50D1"/>
    <w:rsid w:val="00ED02A1"/>
    <w:rsid w:val="00ED5E95"/>
    <w:rsid w:val="00ED755F"/>
    <w:rsid w:val="00EE21F6"/>
    <w:rsid w:val="00EE5369"/>
    <w:rsid w:val="00EE5402"/>
    <w:rsid w:val="00EE5F75"/>
    <w:rsid w:val="00EE6276"/>
    <w:rsid w:val="00F05059"/>
    <w:rsid w:val="00F05559"/>
    <w:rsid w:val="00F074E2"/>
    <w:rsid w:val="00F101E7"/>
    <w:rsid w:val="00F118BE"/>
    <w:rsid w:val="00F13DD2"/>
    <w:rsid w:val="00F14EFD"/>
    <w:rsid w:val="00F15D42"/>
    <w:rsid w:val="00F17D57"/>
    <w:rsid w:val="00F20A88"/>
    <w:rsid w:val="00F2204E"/>
    <w:rsid w:val="00F2389A"/>
    <w:rsid w:val="00F30755"/>
    <w:rsid w:val="00F3103D"/>
    <w:rsid w:val="00F3402C"/>
    <w:rsid w:val="00F35F3F"/>
    <w:rsid w:val="00F417A2"/>
    <w:rsid w:val="00F50CC4"/>
    <w:rsid w:val="00F527CF"/>
    <w:rsid w:val="00F631C2"/>
    <w:rsid w:val="00F6345D"/>
    <w:rsid w:val="00F645EA"/>
    <w:rsid w:val="00F65623"/>
    <w:rsid w:val="00F656B7"/>
    <w:rsid w:val="00F656E8"/>
    <w:rsid w:val="00F67A9F"/>
    <w:rsid w:val="00F77170"/>
    <w:rsid w:val="00F826AB"/>
    <w:rsid w:val="00F91938"/>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15B9"/>
    <w:rsid w:val="00FD43AA"/>
    <w:rsid w:val="00FD7F7E"/>
    <w:rsid w:val="00FE0789"/>
    <w:rsid w:val="00FE5389"/>
    <w:rsid w:val="00FF4694"/>
    <w:rsid w:val="00FF4F7F"/>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524171666">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7v2-iz-r1.5-testing.nist.gov/iztool/" TargetMode="External"/><Relationship Id="rId13" Type="http://schemas.openxmlformats.org/officeDocument/2006/relationships/hyperlink" Target="https://hl7v2-iz-r1.5-testing.nist.gov/iztoo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l7v2-iz-r1.5-testing.nist.gov/iztoo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iz-r1.5-testing.nist.gov/iztool/" TargetMode="External"/><Relationship Id="rId5" Type="http://schemas.openxmlformats.org/officeDocument/2006/relationships/webSettings" Target="webSettings.xml"/><Relationship Id="rId15" Type="http://schemas.openxmlformats.org/officeDocument/2006/relationships/hyperlink" Target="mailto:ehr@drummondgroup.com" TargetMode="External"/><Relationship Id="rId10" Type="http://schemas.openxmlformats.org/officeDocument/2006/relationships/hyperlink" Target="https://hl7v2-iz-r1.5-testing.nist.gov/iztoo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hl7v2-iz-r1.5-testing.nist.gov/iztool/" TargetMode="External"/><Relationship Id="rId14" Type="http://schemas.openxmlformats.org/officeDocument/2006/relationships/hyperlink" Target="http://www.drummond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F61CD-DE1A-4EC7-B264-36E30600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13629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21</cp:revision>
  <dcterms:created xsi:type="dcterms:W3CDTF">2016-03-01T18:28:00Z</dcterms:created>
  <dcterms:modified xsi:type="dcterms:W3CDTF">2017-04-03T00:44:00Z</dcterms:modified>
</cp:coreProperties>
</file>