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Default="00362E3C" w:rsidP="00362E3C">
      <w:pPr>
        <w:pStyle w:val="Heading1"/>
      </w:pPr>
      <w:r w:rsidRPr="00BD2A8D">
        <w:t xml:space="preserve">Test Criteria: </w:t>
      </w:r>
      <w:r w:rsidR="00B51252">
        <w:t xml:space="preserve"> </w:t>
      </w:r>
      <w:r w:rsidR="00EE5B48">
        <w:t>170.315.g</w:t>
      </w:r>
      <w:r w:rsidR="00AC3FA3">
        <w:t>.</w:t>
      </w:r>
      <w:r w:rsidR="00455782">
        <w:t>9</w:t>
      </w:r>
      <w:r w:rsidR="003E72FF" w:rsidRPr="00BD2A8D">
        <w:t xml:space="preserve"> – </w:t>
      </w:r>
      <w:r w:rsidR="00EE5B48">
        <w:t xml:space="preserve">Application Access – </w:t>
      </w:r>
      <w:r w:rsidR="00455782">
        <w:t xml:space="preserve">All </w:t>
      </w:r>
      <w:r w:rsidR="00EE5B48">
        <w:t>Data Request</w:t>
      </w:r>
    </w:p>
    <w:p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B04A32" w:rsidTr="00DC0225">
        <w:trPr>
          <w:trHeight w:val="331"/>
        </w:trPr>
        <w:tc>
          <w:tcPr>
            <w:tcW w:w="4045" w:type="dxa"/>
            <w:shd w:val="clear" w:color="auto" w:fill="FFFFFF" w:themeFill="background1"/>
          </w:tcPr>
          <w:p w:rsidR="00B04A32" w:rsidRPr="00DC0225" w:rsidRDefault="00B04A32" w:rsidP="00B04A32">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B04A32" w:rsidRPr="00DC0225" w:rsidRDefault="00B04A32" w:rsidP="00B04A32">
            <w:pPr>
              <w:rPr>
                <w:rFonts w:ascii="Leelawadee UI" w:hAnsi="Leelawadee UI" w:cs="Leelawadee UI"/>
              </w:rPr>
            </w:pPr>
          </w:p>
        </w:tc>
      </w:tr>
      <w:tr w:rsidR="00B04A32" w:rsidTr="00DC0225">
        <w:trPr>
          <w:trHeight w:val="331"/>
        </w:trPr>
        <w:tc>
          <w:tcPr>
            <w:tcW w:w="4045" w:type="dxa"/>
            <w:shd w:val="clear" w:color="auto" w:fill="FFFFFF" w:themeFill="background1"/>
          </w:tcPr>
          <w:p w:rsidR="00B04A32" w:rsidRPr="00DC0225" w:rsidRDefault="00B04A32" w:rsidP="00B04A32">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B04A32" w:rsidRPr="00DC0225" w:rsidRDefault="00B04A32" w:rsidP="00B04A32">
            <w:pPr>
              <w:rPr>
                <w:rFonts w:ascii="Leelawadee UI" w:hAnsi="Leelawadee UI" w:cs="Leelawadee UI"/>
              </w:rPr>
            </w:pPr>
          </w:p>
        </w:tc>
      </w:tr>
      <w:tr w:rsidR="00B04A32" w:rsidTr="00DC0225">
        <w:trPr>
          <w:trHeight w:val="331"/>
        </w:trPr>
        <w:tc>
          <w:tcPr>
            <w:tcW w:w="4045" w:type="dxa"/>
            <w:shd w:val="clear" w:color="auto" w:fill="FFFFFF" w:themeFill="background1"/>
          </w:tcPr>
          <w:p w:rsidR="00B04A32" w:rsidRPr="00DC0225" w:rsidRDefault="00B04A32" w:rsidP="00B04A32">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B04A32" w:rsidRPr="00DC0225" w:rsidRDefault="00B04A32" w:rsidP="00B04A32">
            <w:pPr>
              <w:rPr>
                <w:rFonts w:ascii="Leelawadee UI" w:hAnsi="Leelawadee UI" w:cs="Leelawadee UI"/>
              </w:rPr>
            </w:pPr>
          </w:p>
        </w:tc>
      </w:tr>
      <w:tr w:rsidR="00B04A32" w:rsidTr="00DC0225">
        <w:trPr>
          <w:trHeight w:val="331"/>
        </w:trPr>
        <w:tc>
          <w:tcPr>
            <w:tcW w:w="4045" w:type="dxa"/>
            <w:shd w:val="clear" w:color="auto" w:fill="FFFFFF" w:themeFill="background1"/>
          </w:tcPr>
          <w:p w:rsidR="00B04A32" w:rsidRPr="00DC0225" w:rsidRDefault="00B04A32" w:rsidP="00B04A32">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B04A32" w:rsidRPr="00DC0225" w:rsidRDefault="00B04A32" w:rsidP="00B04A32">
            <w:pPr>
              <w:rPr>
                <w:rFonts w:ascii="Leelawadee UI" w:hAnsi="Leelawadee UI" w:cs="Leelawadee UI"/>
              </w:rPr>
            </w:pPr>
          </w:p>
        </w:tc>
      </w:tr>
      <w:tr w:rsidR="00B04A32" w:rsidTr="00DC0225">
        <w:trPr>
          <w:trHeight w:val="350"/>
        </w:trPr>
        <w:tc>
          <w:tcPr>
            <w:tcW w:w="4045" w:type="dxa"/>
            <w:shd w:val="clear" w:color="auto" w:fill="FFFFFF" w:themeFill="background1"/>
          </w:tcPr>
          <w:p w:rsidR="00B04A32" w:rsidRPr="00DC0225" w:rsidRDefault="00B04A32" w:rsidP="00B04A32">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B04A32" w:rsidRPr="00DC0225" w:rsidRDefault="00B04A32" w:rsidP="00B04A32">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w14:uncheckedState w14:val="2610" w14:font="Arial"/>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w14:uncheckedState w14:val="2610" w14:font="Arial"/>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w14:uncheckedState w14:val="2610" w14:font="Arial"/>
                </w14:checkbox>
              </w:sdtPr>
              <w:sdtEndPr/>
              <w:sdtContent>
                <w:r w:rsidRPr="00DC0225">
                  <w:rPr>
                    <w:rFonts w:ascii="Segoe UI Symbol" w:hAnsi="Segoe UI Symbol" w:cs="Segoe UI Symbol"/>
                  </w:rPr>
                  <w:t>☐</w:t>
                </w:r>
              </w:sdtContent>
            </w:sdt>
          </w:p>
        </w:tc>
      </w:tr>
      <w:tr w:rsidR="00B04A32" w:rsidTr="00DC0225">
        <w:trPr>
          <w:trHeight w:val="350"/>
        </w:trPr>
        <w:tc>
          <w:tcPr>
            <w:tcW w:w="4045" w:type="dxa"/>
            <w:shd w:val="clear" w:color="auto" w:fill="FFFFFF" w:themeFill="background1"/>
          </w:tcPr>
          <w:p w:rsidR="00B04A32" w:rsidRPr="00DC0225" w:rsidRDefault="00B04A32" w:rsidP="00B04A32">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B04A32" w:rsidRPr="00DC0225" w:rsidRDefault="00B04A32" w:rsidP="00B04A32">
            <w:pPr>
              <w:rPr>
                <w:rFonts w:ascii="Leelawadee UI" w:hAnsi="Leelawadee UI" w:cs="Leelawadee UI"/>
              </w:rPr>
            </w:pPr>
          </w:p>
        </w:tc>
      </w:tr>
      <w:tr w:rsidR="00B04A32" w:rsidTr="00DC0225">
        <w:trPr>
          <w:trHeight w:val="350"/>
        </w:trPr>
        <w:tc>
          <w:tcPr>
            <w:tcW w:w="4045" w:type="dxa"/>
            <w:shd w:val="clear" w:color="auto" w:fill="FFFFFF" w:themeFill="background1"/>
          </w:tcPr>
          <w:p w:rsidR="00B04A32" w:rsidRPr="00DC0225" w:rsidRDefault="00B04A32" w:rsidP="00B04A32">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B04A32" w:rsidRPr="00DC0225" w:rsidRDefault="00B04A32" w:rsidP="00B04A32">
            <w:pPr>
              <w:rPr>
                <w:rFonts w:ascii="Leelawadee UI" w:hAnsi="Leelawadee UI" w:cs="Leelawadee UI"/>
              </w:rPr>
            </w:pPr>
          </w:p>
        </w:tc>
      </w:tr>
      <w:tr w:rsidR="00B04A32" w:rsidTr="00DC0225">
        <w:trPr>
          <w:trHeight w:val="350"/>
        </w:trPr>
        <w:tc>
          <w:tcPr>
            <w:tcW w:w="4045" w:type="dxa"/>
            <w:shd w:val="clear" w:color="auto" w:fill="FFFFFF" w:themeFill="background1"/>
          </w:tcPr>
          <w:p w:rsidR="00B04A32" w:rsidRPr="00DC0225" w:rsidRDefault="00B04A32" w:rsidP="00B04A32">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B04A32" w:rsidRPr="00DC0225" w:rsidRDefault="00B04A32" w:rsidP="00B04A32">
            <w:pPr>
              <w:rPr>
                <w:rFonts w:ascii="Leelawadee UI" w:hAnsi="Leelawadee UI" w:cs="Leelawadee UI"/>
              </w:rPr>
            </w:pPr>
          </w:p>
        </w:tc>
      </w:tr>
      <w:tr w:rsidR="00B04A32" w:rsidTr="00DC0225">
        <w:trPr>
          <w:trHeight w:val="313"/>
        </w:trPr>
        <w:tc>
          <w:tcPr>
            <w:tcW w:w="4045" w:type="dxa"/>
            <w:shd w:val="clear" w:color="auto" w:fill="FFFFFF" w:themeFill="background1"/>
          </w:tcPr>
          <w:p w:rsidR="00B04A32" w:rsidRPr="00DC0225" w:rsidRDefault="00B04A32" w:rsidP="00B04A32">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B04A32" w:rsidRPr="00DC0225" w:rsidRDefault="00B04A32" w:rsidP="00B04A32">
            <w:pPr>
              <w:rPr>
                <w:rFonts w:ascii="Leelawadee UI" w:hAnsi="Leelawadee UI" w:cs="Leelawadee UI"/>
              </w:rPr>
            </w:pPr>
          </w:p>
        </w:tc>
      </w:tr>
      <w:tr w:rsidR="00DE4384" w:rsidTr="00DC0225">
        <w:trPr>
          <w:trHeight w:val="313"/>
        </w:trPr>
        <w:tc>
          <w:tcPr>
            <w:tcW w:w="4045" w:type="dxa"/>
            <w:shd w:val="clear" w:color="auto" w:fill="FFFFFF" w:themeFill="background1"/>
          </w:tcPr>
          <w:p w:rsidR="00DE4384" w:rsidRPr="00DC0225" w:rsidRDefault="00DE4384" w:rsidP="00B04A32">
            <w:pPr>
              <w:rPr>
                <w:rFonts w:ascii="Leelawadee UI" w:hAnsi="Leelawadee UI" w:cs="Leelawadee UI"/>
                <w:sz w:val="22"/>
                <w:szCs w:val="22"/>
              </w:rPr>
            </w:pPr>
            <w:r>
              <w:rPr>
                <w:rFonts w:ascii="Leelawadee UI" w:hAnsi="Leelawadee UI" w:cs="Leelawadee UI"/>
                <w:sz w:val="22"/>
                <w:szCs w:val="22"/>
              </w:rPr>
              <w:t>Test Client Used</w:t>
            </w:r>
          </w:p>
        </w:tc>
        <w:tc>
          <w:tcPr>
            <w:tcW w:w="4854" w:type="dxa"/>
            <w:shd w:val="clear" w:color="auto" w:fill="FFFFFF" w:themeFill="background1"/>
          </w:tcPr>
          <w:p w:rsidR="00DE4384" w:rsidRPr="00DC0225" w:rsidRDefault="00DE4384" w:rsidP="00B04A32">
            <w:pPr>
              <w:rPr>
                <w:rFonts w:ascii="Leelawadee UI" w:hAnsi="Leelawadee UI" w:cs="Leelawadee UI"/>
              </w:rPr>
            </w:pPr>
          </w:p>
        </w:tc>
      </w:tr>
    </w:tbl>
    <w:p w:rsidR="00FD7F7E" w:rsidRDefault="00FD7F7E" w:rsidP="00FD7F7E"/>
    <w:p w:rsidR="00334A23" w:rsidRDefault="00334A23" w:rsidP="00334A23">
      <w:pPr>
        <w:pStyle w:val="Heading3"/>
      </w:pPr>
      <w:r>
        <w:t>Overview</w:t>
      </w:r>
    </w:p>
    <w:p w:rsidR="00334A23" w:rsidRDefault="00334A23" w:rsidP="00334A23">
      <w:r>
        <w:t>In this document you will find:</w:t>
      </w:r>
    </w:p>
    <w:p w:rsidR="00334A23" w:rsidRDefault="009F43D5" w:rsidP="00334A23">
      <w:pPr>
        <w:pStyle w:val="ListParagraph"/>
        <w:numPr>
          <w:ilvl w:val="0"/>
          <w:numId w:val="40"/>
        </w:numPr>
      </w:pPr>
      <w:hyperlink w:anchor="_Test_Data_and" w:history="1">
        <w:r w:rsidR="00334A23">
          <w:rPr>
            <w:rStyle w:val="Hyperlink"/>
          </w:rPr>
          <w:t>Test Data and Test Tools</w:t>
        </w:r>
      </w:hyperlink>
    </w:p>
    <w:p w:rsidR="00334A23" w:rsidRDefault="009F43D5" w:rsidP="00334A23">
      <w:pPr>
        <w:pStyle w:val="ListParagraph"/>
        <w:numPr>
          <w:ilvl w:val="0"/>
          <w:numId w:val="40"/>
        </w:numPr>
      </w:pPr>
      <w:hyperlink w:anchor="_Demonstrate_Standards_Support" w:history="1">
        <w:r w:rsidR="00334A23">
          <w:rPr>
            <w:rStyle w:val="Hyperlink"/>
          </w:rPr>
          <w:t>Standards Support</w:t>
        </w:r>
      </w:hyperlink>
    </w:p>
    <w:p w:rsidR="00334A23" w:rsidRPr="00241B8B" w:rsidRDefault="009F43D5" w:rsidP="00334A23">
      <w:pPr>
        <w:pStyle w:val="ListParagraph"/>
        <w:numPr>
          <w:ilvl w:val="0"/>
          <w:numId w:val="40"/>
        </w:numPr>
        <w:rPr>
          <w:rStyle w:val="Hyperlink"/>
          <w:color w:val="auto"/>
          <w:u w:val="none"/>
        </w:rPr>
      </w:pPr>
      <w:hyperlink w:anchor="_170.315(g)(9)(i)_All_Data" w:history="1">
        <w:r w:rsidR="00334A23">
          <w:rPr>
            <w:rStyle w:val="Hyperlink"/>
          </w:rPr>
          <w:t>Drummond Test Report (Instructions, Expected Results, Points to Remember)</w:t>
        </w:r>
      </w:hyperlink>
    </w:p>
    <w:p w:rsidR="00334A23" w:rsidRPr="00241B8B" w:rsidRDefault="009F43D5" w:rsidP="00334A23">
      <w:pPr>
        <w:pStyle w:val="ListParagraph"/>
        <w:numPr>
          <w:ilvl w:val="0"/>
          <w:numId w:val="40"/>
        </w:numPr>
        <w:rPr>
          <w:rStyle w:val="Hyperlink"/>
          <w:color w:val="auto"/>
          <w:u w:val="none"/>
        </w:rPr>
      </w:pPr>
      <w:hyperlink w:anchor="_170.315(g)(9)_Application_Access" w:history="1">
        <w:r w:rsidR="00334A23" w:rsidRPr="00241B8B">
          <w:rPr>
            <w:rStyle w:val="Hyperlink"/>
          </w:rPr>
          <w:t>Test Procedures</w:t>
        </w:r>
      </w:hyperlink>
    </w:p>
    <w:p w:rsidR="00334A23" w:rsidRDefault="009F43D5" w:rsidP="00334A23">
      <w:pPr>
        <w:pStyle w:val="ListParagraph"/>
        <w:numPr>
          <w:ilvl w:val="0"/>
          <w:numId w:val="40"/>
        </w:numPr>
      </w:pPr>
      <w:hyperlink w:anchor="_Appendix_A:_Testing" w:history="1">
        <w:r w:rsidR="00334A23" w:rsidRPr="00241B8B">
          <w:rPr>
            <w:rStyle w:val="Hyperlink"/>
          </w:rPr>
          <w:t>Appendix A: Testing Guide</w:t>
        </w:r>
      </w:hyperlink>
    </w:p>
    <w:p w:rsidR="00334A23" w:rsidRPr="009A345B" w:rsidRDefault="009F43D5" w:rsidP="00334A23">
      <w:pPr>
        <w:pStyle w:val="ListParagraph"/>
        <w:numPr>
          <w:ilvl w:val="0"/>
          <w:numId w:val="40"/>
        </w:numPr>
        <w:rPr>
          <w:rStyle w:val="Hyperlink"/>
          <w:color w:val="auto"/>
          <w:u w:val="none"/>
        </w:rPr>
      </w:pPr>
      <w:hyperlink w:anchor="_Appendix_B:_ONC" w:history="1">
        <w:r w:rsidR="00334A23">
          <w:rPr>
            <w:rStyle w:val="Hyperlink"/>
          </w:rPr>
          <w:t>Appendix B: ONC Criteria</w:t>
        </w:r>
      </w:hyperlink>
    </w:p>
    <w:p w:rsidR="009A345B" w:rsidRDefault="009A345B" w:rsidP="00334A23">
      <w:pPr>
        <w:pStyle w:val="ListParagraph"/>
        <w:numPr>
          <w:ilvl w:val="0"/>
          <w:numId w:val="40"/>
        </w:numPr>
      </w:pPr>
      <w:r>
        <w:rPr>
          <w:rStyle w:val="Hyperlink"/>
        </w:rPr>
        <w:t xml:space="preserve">Appendix C: </w:t>
      </w:r>
      <w:hyperlink w:anchor="_Appendix_C:_CCDS" w:history="1">
        <w:r w:rsidRPr="009A345B">
          <w:rPr>
            <w:rStyle w:val="Hyperlink"/>
          </w:rPr>
          <w:t>CCDS</w:t>
        </w:r>
      </w:hyperlink>
      <w:r>
        <w:rPr>
          <w:rStyle w:val="Hyperlink"/>
        </w:rPr>
        <w:t xml:space="preserve"> Reference Table</w:t>
      </w:r>
    </w:p>
    <w:p w:rsidR="00334A23" w:rsidRDefault="00334A23" w:rsidP="00FD7F7E"/>
    <w:p w:rsidR="009D5A77" w:rsidRDefault="009D5A77" w:rsidP="009D5A77">
      <w:pPr>
        <w:pStyle w:val="Heading3"/>
      </w:pPr>
      <w:bookmarkStart w:id="0" w:name="_Toc432066403"/>
      <w:r w:rsidRPr="00EA50E7">
        <w:t>Version of ONC Test Method</w:t>
      </w:r>
      <w:bookmarkEnd w:id="0"/>
    </w:p>
    <w:p w:rsidR="009D5A77" w:rsidRDefault="00DD6FE5" w:rsidP="009D5A77">
      <w:pPr>
        <w:ind w:left="720"/>
      </w:pPr>
      <w:r>
        <w:t>1.1</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w:t>
      </w:r>
      <w:r>
        <w:lastRenderedPageBreak/>
        <w:t xml:space="preserve">the results. Proctoring Sheet describe test data, test criteria and expected results. It is assumed </w:t>
      </w:r>
      <w:r w:rsidR="007902A0">
        <w:t xml:space="preserve">the </w:t>
      </w:r>
      <w:r w:rsidR="00AF5E69">
        <w:t>Health IT developer</w:t>
      </w:r>
      <w:r w:rsidR="007902A0">
        <w:t xml:space="preserve"> or Participant </w:t>
      </w:r>
      <w:r w:rsidR="00AF5E69">
        <w:t>u</w:t>
      </w:r>
      <w:r w:rsidR="005D5757">
        <w:t>nder Test</w:t>
      </w:r>
      <w:r>
        <w:t xml:space="preserve">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AF5E69" w:rsidRDefault="00AF5E69">
      <w:pPr>
        <w:rPr>
          <w:rFonts w:ascii="Arial" w:hAnsi="Arial" w:cs="Arial"/>
          <w:b/>
          <w:bCs/>
          <w:kern w:val="32"/>
          <w:sz w:val="32"/>
          <w:szCs w:val="32"/>
        </w:rPr>
      </w:pPr>
      <w:bookmarkStart w:id="2" w:name="OLE_LINK1"/>
      <w:bookmarkEnd w:id="1"/>
      <w:r>
        <w:br w:type="page"/>
      </w:r>
    </w:p>
    <w:p w:rsidR="009D5A77" w:rsidRDefault="009D5A77" w:rsidP="00257318">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585C69">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0"/>
                  <w14:checkedState w14:val="2612" w14:font="Arial"/>
                  <w14:uncheckedState w14:val="2610" w14:font="Arial"/>
                </w14:checkbox>
              </w:sdtPr>
              <w:sdtEndPr/>
              <w:sdtContent>
                <w:r>
                  <w:rPr>
                    <w:rFonts w:ascii="MS Gothic" w:eastAsia="MS Gothic" w:hAnsi="MS Gothic" w:cs="Leelawadee UI"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1"/>
                  <w14:checkedState w14:val="2612" w14:font="Arial"/>
                  <w14:uncheckedState w14:val="2610" w14:font="Arial"/>
                </w14:checkbox>
              </w:sdtPr>
              <w:sdtEndPr/>
              <w:sdtContent>
                <w:r w:rsidR="00BA73F4">
                  <w:rPr>
                    <w:rFonts w:ascii="MS Gothic" w:eastAsia="MS Gothic" w:hAnsi="Leelawadee UI" w:cs="Leelawadee UI" w:hint="eastAsia"/>
                  </w:rPr>
                  <w:t>☒</w:t>
                </w:r>
              </w:sdtContent>
            </w:sdt>
            <w:r w:rsidR="00AC3FA3">
              <w:rPr>
                <w:rFonts w:ascii="Leelawadee UI" w:hAnsi="Leelawadee UI" w:cs="Leelawadee UI"/>
              </w:rPr>
              <w:t xml:space="preserve">      </w:t>
            </w:r>
            <w:r w:rsidR="00AF5E69">
              <w:rPr>
                <w:rFonts w:ascii="Leelawadee UI" w:hAnsi="Leelawadee UI" w:cs="Leelawadee UI"/>
              </w:rPr>
              <w:t>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1"/>
                  <w14:checkedState w14:val="2612" w14:font="Arial"/>
                  <w14:uncheckedState w14:val="2610" w14:font="Arial"/>
                </w14:checkbox>
              </w:sdtPr>
              <w:sdtEndPr/>
              <w:sdtContent>
                <w:r w:rsidR="00031C7D">
                  <w:rPr>
                    <w:rFonts w:ascii="MS Gothic" w:eastAsia="MS Gothic" w:hAnsi="MS Gothic" w:cs="Leelawadee UI" w:hint="eastAsia"/>
                  </w:rPr>
                  <w:t>☒</w:t>
                </w:r>
              </w:sdtContent>
            </w:sdt>
            <w:r w:rsidR="009D5A77" w:rsidRPr="00255DC9">
              <w:rPr>
                <w:rFonts w:ascii="Leelawadee UI" w:hAnsi="Leelawadee UI" w:cs="Leelawadee UI"/>
              </w:rPr>
              <w:t xml:space="preserve">  </w:t>
            </w:r>
          </w:p>
        </w:tc>
      </w:tr>
      <w:tr w:rsidR="009D5A77" w:rsidTr="00672C77">
        <w:trPr>
          <w:trHeight w:val="432"/>
        </w:trPr>
        <w:tc>
          <w:tcPr>
            <w:tcW w:w="8730" w:type="dxa"/>
            <w:gridSpan w:val="2"/>
            <w:shd w:val="clear" w:color="auto" w:fill="DBE5F1" w:themeFill="accent1" w:themeFillTint="33"/>
          </w:tcPr>
          <w:p w:rsidR="009D5A77" w:rsidRDefault="009D5A77" w:rsidP="00672C77">
            <w:pPr>
              <w:rPr>
                <w:rFonts w:ascii="Leelawadee UI" w:hAnsi="Leelawadee UI" w:cs="Leelawadee UI"/>
              </w:rPr>
            </w:pPr>
            <w:r>
              <w:rPr>
                <w:rFonts w:ascii="Leelawadee UI" w:hAnsi="Leelawadee UI" w:cs="Leelawadee UI"/>
                <w:b/>
              </w:rPr>
              <w:t>Pre-Test Data Setup:</w:t>
            </w:r>
          </w:p>
          <w:p w:rsidR="009D5A77" w:rsidRPr="000B2BD9" w:rsidRDefault="00720FFA" w:rsidP="00720FFA">
            <w:pPr>
              <w:pStyle w:val="ListParagraph"/>
            </w:pPr>
            <w:r>
              <w:rPr>
                <w:rFonts w:ascii="Leelawadee UI" w:hAnsi="Leelawadee UI" w:cs="Leelawadee UI"/>
              </w:rPr>
              <w:t>Health IT developer pre-loads</w:t>
            </w:r>
            <w:r w:rsidRPr="006E0B71">
              <w:rPr>
                <w:rFonts w:ascii="Leelawadee UI" w:hAnsi="Leelawadee UI" w:cs="Leelawadee UI"/>
              </w:rPr>
              <w:t xml:space="preserve"> </w:t>
            </w:r>
            <w:r>
              <w:rPr>
                <w:rFonts w:ascii="Leelawadee UI" w:hAnsi="Leelawadee UI" w:cs="Leelawadee UI"/>
              </w:rPr>
              <w:t xml:space="preserve">the </w:t>
            </w:r>
            <w:r w:rsidR="00252D73">
              <w:rPr>
                <w:rFonts w:ascii="Leelawadee UI" w:hAnsi="Leelawadee UI" w:cs="Leelawadee UI"/>
              </w:rPr>
              <w:t>170.315(g)(9</w:t>
            </w:r>
            <w:r w:rsidRPr="006E0B71">
              <w:rPr>
                <w:rFonts w:ascii="Leelawadee UI" w:hAnsi="Leelawadee UI" w:cs="Leelawadee UI"/>
              </w:rPr>
              <w:t xml:space="preserve">) </w:t>
            </w:r>
            <w:r>
              <w:rPr>
                <w:rFonts w:ascii="Leelawadee UI" w:hAnsi="Leelawadee UI" w:cs="Leelawadee UI"/>
              </w:rPr>
              <w:t xml:space="preserve">ONC </w:t>
            </w:r>
            <w:r w:rsidRPr="006E0B71">
              <w:rPr>
                <w:rFonts w:ascii="Leelawadee UI" w:hAnsi="Leelawadee UI" w:cs="Leelawadee UI"/>
              </w:rPr>
              <w:t xml:space="preserve">test data </w:t>
            </w:r>
            <w:r>
              <w:rPr>
                <w:rFonts w:ascii="Leelawadee UI" w:hAnsi="Leelawadee UI" w:cs="Leelawadee UI"/>
              </w:rPr>
              <w:t>specified below based on</w:t>
            </w:r>
            <w:r w:rsidRPr="006E0B71">
              <w:rPr>
                <w:rFonts w:ascii="Leelawadee UI" w:hAnsi="Leelawadee UI" w:cs="Leelawadee UI"/>
              </w:rPr>
              <w:t xml:space="preserve"> health care setting.</w:t>
            </w:r>
          </w:p>
        </w:tc>
      </w:tr>
      <w:tr w:rsidR="009D5A77" w:rsidTr="00672C77">
        <w:trPr>
          <w:trHeight w:val="432"/>
        </w:trPr>
        <w:tc>
          <w:tcPr>
            <w:tcW w:w="8730" w:type="dxa"/>
            <w:gridSpan w:val="2"/>
            <w:shd w:val="clear" w:color="auto" w:fill="DBE5F1" w:themeFill="accent1" w:themeFillTint="33"/>
          </w:tcPr>
          <w:p w:rsidR="009D5A77" w:rsidRDefault="009D5A77" w:rsidP="00672C77">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720FFA" w:rsidRPr="0077288E" w:rsidRDefault="00720FFA" w:rsidP="00720FFA">
            <w:pPr>
              <w:pStyle w:val="ListParagraph"/>
              <w:rPr>
                <w:rFonts w:ascii="Leelawadee UI" w:hAnsi="Leelawadee UI" w:cs="Leelawadee UI"/>
              </w:rPr>
            </w:pPr>
            <w:r w:rsidRPr="0077288E">
              <w:rPr>
                <w:rFonts w:ascii="Leelawadee UI" w:hAnsi="Leelawadee UI" w:cs="Leelawadee UI"/>
              </w:rPr>
              <w:t>Test Data</w:t>
            </w:r>
            <w:r>
              <w:rPr>
                <w:rFonts w:ascii="Leelawadee UI" w:hAnsi="Leelawadee UI" w:cs="Leelawadee UI"/>
              </w:rPr>
              <w:t xml:space="preserve"> is downloaded for the applicable setting from the ETT</w:t>
            </w:r>
            <w:r w:rsidRPr="0077288E">
              <w:rPr>
                <w:rFonts w:ascii="Leelawadee UI" w:hAnsi="Leelawadee UI" w:cs="Leelawadee UI"/>
              </w:rPr>
              <w:t xml:space="preserve"> </w:t>
            </w:r>
            <w:hyperlink r:id="rId8" w:anchor="/validators" w:history="1">
              <w:r w:rsidRPr="00B924E2">
                <w:rPr>
                  <w:rStyle w:val="Hyperlink"/>
                </w:rPr>
                <w:t>C-CDA R2.1 Validator</w:t>
              </w:r>
            </w:hyperlink>
            <w:r>
              <w:rPr>
                <w:rFonts w:ascii="Leelawadee UI" w:hAnsi="Leelawadee UI" w:cs="Leelawadee UI"/>
              </w:rPr>
              <w:t xml:space="preserve"> using the “Sender SUT Test Data” selection:</w:t>
            </w:r>
            <w:r w:rsidRPr="0077288E">
              <w:rPr>
                <w:rFonts w:ascii="Leelawadee UI" w:hAnsi="Leelawadee UI" w:cs="Leelawadee UI"/>
              </w:rPr>
              <w:t xml:space="preserve"> </w:t>
            </w:r>
          </w:p>
          <w:p w:rsidR="00720FFA" w:rsidRPr="00C540BC" w:rsidRDefault="00720FFA" w:rsidP="001A67EB">
            <w:pPr>
              <w:pStyle w:val="ListParagraph"/>
              <w:numPr>
                <w:ilvl w:val="1"/>
                <w:numId w:val="42"/>
              </w:numPr>
              <w:rPr>
                <w:rFonts w:ascii="Leelawadee UI" w:hAnsi="Leelawadee UI" w:cs="Leelawadee UI"/>
                <w:sz w:val="21"/>
                <w:szCs w:val="21"/>
              </w:rPr>
            </w:pPr>
            <w:r w:rsidRPr="00C540BC">
              <w:rPr>
                <w:rFonts w:ascii="Leelawadee UI" w:hAnsi="Leelawadee UI" w:cs="Leelawadee UI"/>
                <w:sz w:val="21"/>
                <w:szCs w:val="21"/>
              </w:rPr>
              <w:t>Inpatie</w:t>
            </w:r>
            <w:r w:rsidR="00C540BC" w:rsidRPr="00C540BC">
              <w:rPr>
                <w:rFonts w:ascii="Leelawadee UI" w:hAnsi="Leelawadee UI" w:cs="Leelawadee UI"/>
                <w:sz w:val="21"/>
                <w:szCs w:val="21"/>
              </w:rPr>
              <w:t>nt Setting: 170.315_g9_api_access_inp_sample*.docx</w:t>
            </w:r>
            <w:r w:rsidRPr="00C540BC">
              <w:rPr>
                <w:rFonts w:ascii="Leelawadee UI" w:hAnsi="Leelawadee UI" w:cs="Leelawadee UI"/>
                <w:sz w:val="21"/>
                <w:szCs w:val="21"/>
              </w:rPr>
              <w:t xml:space="preserve">  (All Samples)</w:t>
            </w:r>
          </w:p>
          <w:p w:rsidR="009D5A77" w:rsidRPr="00720FFA" w:rsidRDefault="00720FFA" w:rsidP="001A67EB">
            <w:pPr>
              <w:pStyle w:val="ListParagraph"/>
              <w:numPr>
                <w:ilvl w:val="1"/>
                <w:numId w:val="42"/>
              </w:numPr>
              <w:rPr>
                <w:b/>
              </w:rPr>
            </w:pPr>
            <w:r w:rsidRPr="00C540BC">
              <w:rPr>
                <w:rFonts w:ascii="Leelawadee UI" w:hAnsi="Leelawadee UI" w:cs="Leelawadee UI"/>
                <w:sz w:val="21"/>
                <w:szCs w:val="21"/>
              </w:rPr>
              <w:t>Ambulatory Setting: 170.315_</w:t>
            </w:r>
            <w:r w:rsidR="00C540BC" w:rsidRPr="00C540BC">
              <w:rPr>
                <w:rFonts w:ascii="Leelawadee UI" w:hAnsi="Leelawadee UI" w:cs="Leelawadee UI"/>
                <w:sz w:val="21"/>
                <w:szCs w:val="21"/>
              </w:rPr>
              <w:t xml:space="preserve">g9_api_access_amb_sample*.docx </w:t>
            </w:r>
            <w:r w:rsidRPr="00C540BC">
              <w:rPr>
                <w:rFonts w:ascii="Leelawadee UI" w:hAnsi="Leelawadee UI" w:cs="Leelawadee UI"/>
                <w:sz w:val="21"/>
                <w:szCs w:val="21"/>
              </w:rPr>
              <w:t>(All Samples)</w:t>
            </w:r>
          </w:p>
        </w:tc>
      </w:tr>
      <w:tr w:rsidR="009D5A77" w:rsidTr="00672C77">
        <w:trPr>
          <w:trHeight w:val="432"/>
        </w:trPr>
        <w:tc>
          <w:tcPr>
            <w:tcW w:w="8730" w:type="dxa"/>
            <w:gridSpan w:val="2"/>
            <w:shd w:val="clear" w:color="auto" w:fill="DBE5F1" w:themeFill="accent1" w:themeFillTint="33"/>
          </w:tcPr>
          <w:p w:rsidR="009D5A77" w:rsidRDefault="009D5A77" w:rsidP="00672C77">
            <w:pPr>
              <w:rPr>
                <w:rFonts w:ascii="Leelawadee UI" w:hAnsi="Leelawadee UI" w:cs="Leelawadee UI"/>
                <w:b/>
              </w:rPr>
            </w:pPr>
            <w:r>
              <w:rPr>
                <w:rFonts w:ascii="Leelawadee UI" w:hAnsi="Leelawadee UI" w:cs="Leelawadee UI"/>
                <w:b/>
              </w:rPr>
              <w:t>Test Tools:</w:t>
            </w:r>
          </w:p>
          <w:p w:rsidR="00C96136" w:rsidRDefault="00C96136" w:rsidP="00C96136">
            <w:pPr>
              <w:ind w:firstLine="702"/>
              <w:rPr>
                <w:rFonts w:ascii="Leelawadee UI" w:hAnsi="Leelawadee UI" w:cs="Leelawadee UI"/>
                <w:b/>
              </w:rPr>
            </w:pPr>
            <w:r>
              <w:rPr>
                <w:rFonts w:ascii="Leelawadee UI" w:hAnsi="Leelawadee UI" w:cs="Leelawadee UI"/>
              </w:rPr>
              <w:t>ETT</w:t>
            </w:r>
            <w:r w:rsidRPr="0077288E">
              <w:rPr>
                <w:rFonts w:ascii="Leelawadee UI" w:hAnsi="Leelawadee UI" w:cs="Leelawadee UI"/>
              </w:rPr>
              <w:t xml:space="preserve"> </w:t>
            </w:r>
            <w:hyperlink r:id="rId9" w:anchor="/validators" w:history="1">
              <w:r w:rsidRPr="00B924E2">
                <w:rPr>
                  <w:rStyle w:val="Hyperlink"/>
                </w:rPr>
                <w:t>C-CDA R2.1 Validator</w:t>
              </w:r>
            </w:hyperlink>
          </w:p>
          <w:p w:rsidR="00C96136" w:rsidRDefault="00C96136" w:rsidP="00C96136">
            <w:pPr>
              <w:ind w:left="432"/>
              <w:rPr>
                <w:rFonts w:ascii="Leelawadee UI" w:hAnsi="Leelawadee UI" w:cs="Leelawadee UI"/>
              </w:rPr>
            </w:pPr>
          </w:p>
          <w:p w:rsidR="00C96136" w:rsidRDefault="00C96136" w:rsidP="00C96136">
            <w:pPr>
              <w:ind w:left="702"/>
              <w:rPr>
                <w:rFonts w:ascii="Leelawadee UI" w:hAnsi="Leelawadee UI" w:cs="Leelawadee UI"/>
              </w:rPr>
            </w:pPr>
            <w:r w:rsidRPr="00940221">
              <w:rPr>
                <w:rFonts w:ascii="Leelawadee UI" w:hAnsi="Leelawadee UI" w:cs="Leelawadee UI"/>
              </w:rPr>
              <w:t xml:space="preserve">Health IT developer should supply its own API test client. </w:t>
            </w:r>
            <w:r>
              <w:rPr>
                <w:rFonts w:ascii="Leelawadee UI" w:hAnsi="Leelawadee UI" w:cs="Leelawadee UI"/>
              </w:rPr>
              <w:t xml:space="preserve">Test Client Minimum Requirements:  </w:t>
            </w:r>
          </w:p>
          <w:p w:rsidR="00C96136" w:rsidRDefault="00C96136" w:rsidP="00C96136">
            <w:pPr>
              <w:pStyle w:val="ListParagraph"/>
              <w:numPr>
                <w:ilvl w:val="0"/>
                <w:numId w:val="29"/>
              </w:numPr>
              <w:ind w:left="1422"/>
              <w:rPr>
                <w:rFonts w:ascii="Leelawadee UI" w:hAnsi="Leelawadee UI" w:cs="Leelawadee UI"/>
              </w:rPr>
            </w:pPr>
            <w:r w:rsidRPr="00940221">
              <w:rPr>
                <w:rFonts w:ascii="Leelawadee UI" w:hAnsi="Leelawadee UI" w:cs="Leelawadee UI"/>
              </w:rPr>
              <w:t>API Test Client should include all necessary functionality to demonstrate compliance with the criteria outlined in the Test Method for 170.315(g</w:t>
            </w:r>
            <w:proofErr w:type="gramStart"/>
            <w:r w:rsidRPr="00940221">
              <w:rPr>
                <w:rFonts w:ascii="Leelawadee UI" w:hAnsi="Leelawadee UI" w:cs="Leelawadee UI"/>
              </w:rPr>
              <w:t>)(</w:t>
            </w:r>
            <w:proofErr w:type="gramEnd"/>
            <w:r w:rsidRPr="00940221">
              <w:rPr>
                <w:rFonts w:ascii="Leelawadee UI" w:hAnsi="Leelawadee UI" w:cs="Leelawadee UI"/>
              </w:rPr>
              <w:t xml:space="preserve">7) and the steps outlined in this Document. </w:t>
            </w:r>
          </w:p>
          <w:p w:rsidR="00C96136" w:rsidRDefault="00C96136" w:rsidP="00C96136">
            <w:pPr>
              <w:pStyle w:val="ListParagraph"/>
              <w:numPr>
                <w:ilvl w:val="0"/>
                <w:numId w:val="29"/>
              </w:numPr>
              <w:ind w:left="1422"/>
              <w:rPr>
                <w:rFonts w:ascii="Leelawadee UI" w:hAnsi="Leelawadee UI" w:cs="Leelawadee UI"/>
              </w:rPr>
            </w:pPr>
            <w:r>
              <w:rPr>
                <w:rFonts w:ascii="Leelawadee UI" w:hAnsi="Leelawadee UI" w:cs="Leelawadee UI"/>
              </w:rPr>
              <w:t xml:space="preserve">Ability to </w:t>
            </w:r>
            <w:r w:rsidRPr="00940221">
              <w:rPr>
                <w:rFonts w:ascii="Leelawadee UI" w:hAnsi="Leelawadee UI" w:cs="Leelawadee UI"/>
              </w:rPr>
              <w:t xml:space="preserve">show the API call being executed (including any messages being sent from the client to the API server) and the results returned from the API server to the API client in raw form (XML, JSON, or other computable format).  </w:t>
            </w:r>
          </w:p>
          <w:p w:rsidR="00C96136" w:rsidRDefault="00C96136" w:rsidP="00C96136">
            <w:pPr>
              <w:pStyle w:val="ListParagraph"/>
              <w:numPr>
                <w:ilvl w:val="0"/>
                <w:numId w:val="29"/>
              </w:numPr>
              <w:ind w:left="1422"/>
              <w:rPr>
                <w:rFonts w:ascii="Leelawadee UI" w:hAnsi="Leelawadee UI" w:cs="Leelawadee UI"/>
              </w:rPr>
            </w:pPr>
            <w:r>
              <w:rPr>
                <w:rFonts w:ascii="Leelawadee UI" w:hAnsi="Leelawadee UI" w:cs="Leelawadee UI"/>
              </w:rPr>
              <w:t>A</w:t>
            </w:r>
            <w:r w:rsidRPr="00940221">
              <w:rPr>
                <w:rFonts w:ascii="Leelawadee UI" w:hAnsi="Leelawadee UI" w:cs="Leelawadee UI"/>
              </w:rPr>
              <w:t xml:space="preserve">uthenticate to the API server using a valid login or other security credential and demonstrate the ability to use a validated security token for the API session for subsequent API calls until the session expires or time out.  </w:t>
            </w:r>
          </w:p>
          <w:p w:rsidR="00B54585" w:rsidRPr="000B2BD9" w:rsidRDefault="00C96136" w:rsidP="00C96136">
            <w:pPr>
              <w:pStyle w:val="ListParagraph"/>
              <w:numPr>
                <w:ilvl w:val="0"/>
                <w:numId w:val="29"/>
              </w:numPr>
              <w:ind w:left="1422"/>
            </w:pPr>
            <w:r>
              <w:rPr>
                <w:rFonts w:ascii="Leelawadee UI" w:hAnsi="Leelawadee UI" w:cs="Leelawadee UI"/>
              </w:rPr>
              <w:t>D</w:t>
            </w:r>
            <w:r w:rsidRPr="00940221">
              <w:rPr>
                <w:rFonts w:ascii="Leelawadee UI" w:hAnsi="Leelawadee UI" w:cs="Leelawadee UI"/>
              </w:rPr>
              <w:t>emonstrate the communication security layer being used between the API Client and the API Server.</w:t>
            </w:r>
          </w:p>
        </w:tc>
      </w:tr>
    </w:tbl>
    <w:p w:rsidR="009D5A77" w:rsidRDefault="009D5A77" w:rsidP="009D5A77"/>
    <w:p w:rsidR="00AF5E69" w:rsidRDefault="00AF5E69">
      <w:pPr>
        <w:rPr>
          <w:rFonts w:ascii="Arial" w:hAnsi="Arial" w:cs="Arial"/>
          <w:b/>
          <w:bCs/>
          <w:kern w:val="32"/>
          <w:sz w:val="32"/>
          <w:szCs w:val="32"/>
        </w:rPr>
      </w:pPr>
      <w:r>
        <w:br w:type="page"/>
      </w:r>
    </w:p>
    <w:p w:rsidR="00FD7F7E" w:rsidRDefault="00FD7F7E" w:rsidP="00FD7F7E">
      <w:pPr>
        <w:pStyle w:val="Heading1"/>
      </w:pPr>
      <w:bookmarkStart w:id="4" w:name="_Demonstrate_Standards_Support"/>
      <w:bookmarkEnd w:id="4"/>
      <w:r>
        <w:lastRenderedPageBreak/>
        <w:t>Demonstrate Standards Support</w:t>
      </w:r>
    </w:p>
    <w:p w:rsidR="00244EE7" w:rsidRDefault="00244EE7" w:rsidP="00244EE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5670"/>
      </w:tblGrid>
      <w:tr w:rsidR="00244EE7" w:rsidTr="00720FFA">
        <w:trPr>
          <w:trHeight w:val="432"/>
        </w:trPr>
        <w:tc>
          <w:tcPr>
            <w:tcW w:w="3060" w:type="dxa"/>
            <w:shd w:val="clear" w:color="auto" w:fill="DBE5F1" w:themeFill="accent1" w:themeFillTint="33"/>
          </w:tcPr>
          <w:p w:rsidR="00244EE7" w:rsidRPr="00255DC9" w:rsidRDefault="00244EE7" w:rsidP="00672C77">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5670" w:type="dxa"/>
            <w:shd w:val="clear" w:color="auto" w:fill="DBE5F1" w:themeFill="accent1" w:themeFillTint="33"/>
          </w:tcPr>
          <w:p w:rsidR="00244EE7" w:rsidRPr="00255DC9" w:rsidRDefault="00244EE7" w:rsidP="00672C77">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Yu Gothic UI"/>
                  <w14:uncheckedState w14:val="2610" w14:font="Yu Gothic UI"/>
                </w14:checkbox>
              </w:sdtPr>
              <w:sdtEndPr/>
              <w:sdtContent>
                <w:r w:rsidRPr="00255DC9">
                  <w:rPr>
                    <w:rFonts w:ascii="Segoe UI Symbol" w:hAnsi="Segoe UI Symbol" w:cs="Segoe UI Symbol"/>
                  </w:rPr>
                  <w:t>☐</w:t>
                </w:r>
              </w:sdtContent>
            </w:sdt>
            <w:r>
              <w:rPr>
                <w:rFonts w:ascii="Leelawadee UI" w:hAnsi="Leelawadee UI" w:cs="Leelawadee UI"/>
              </w:rPr>
              <w:t xml:space="preserve">      </w:t>
            </w:r>
            <w:r w:rsidRPr="00255DC9">
              <w:rPr>
                <w:rFonts w:ascii="Leelawadee UI" w:hAnsi="Leelawadee UI" w:cs="Leelawadee UI"/>
              </w:rPr>
              <w:t xml:space="preserve">FAIL:  </w:t>
            </w:r>
            <w:sdt>
              <w:sdtPr>
                <w:rPr>
                  <w:rFonts w:ascii="Leelawadee UI" w:hAnsi="Leelawadee UI" w:cs="Leelawadee UI"/>
                </w:rPr>
                <w:id w:val="-940380998"/>
                <w14:checkbox>
                  <w14:checked w14:val="0"/>
                  <w14:checkedState w14:val="2612" w14:font="Yu Gothic UI"/>
                  <w14:uncheckedState w14:val="2610" w14:font="Yu Gothic UI"/>
                </w14:checkbox>
              </w:sdtPr>
              <w:sdtEndPr/>
              <w:sdtContent>
                <w:r w:rsidRPr="00255DC9">
                  <w:rPr>
                    <w:rFonts w:ascii="Segoe UI Symbol" w:hAnsi="Segoe UI Symbol" w:cs="Segoe UI Symbol"/>
                  </w:rPr>
                  <w:t>☐</w:t>
                </w:r>
              </w:sdtContent>
            </w:sdt>
            <w:r>
              <w:rPr>
                <w:rFonts w:ascii="Leelawadee UI" w:hAnsi="Leelawadee UI" w:cs="Leelawadee UI"/>
              </w:rPr>
              <w:t xml:space="preserve">      </w:t>
            </w:r>
            <w:r w:rsidRPr="00255DC9">
              <w:rPr>
                <w:rFonts w:ascii="Leelawadee UI" w:hAnsi="Leelawadee UI" w:cs="Leelawadee UI"/>
              </w:rPr>
              <w:t xml:space="preserve">No Attempt: </w:t>
            </w:r>
            <w:sdt>
              <w:sdtPr>
                <w:rPr>
                  <w:rFonts w:ascii="Leelawadee UI" w:hAnsi="Leelawadee UI" w:cs="Leelawadee UI"/>
                </w:rPr>
                <w:id w:val="345911530"/>
                <w14:checkbox>
                  <w14:checked w14:val="0"/>
                  <w14:checkedState w14:val="2612" w14:font="Yu Gothic UI"/>
                  <w14:uncheckedState w14:val="2610" w14:font="Yu Gothic UI"/>
                </w14:checkbox>
              </w:sdtPr>
              <w:sdtEndPr/>
              <w:sdtContent>
                <w:r>
                  <w:rPr>
                    <w:rFonts w:ascii="MS Gothic" w:eastAsia="MS Gothic" w:hAnsi="MS Gothic" w:cs="Leelawadee UI" w:hint="eastAsia"/>
                  </w:rPr>
                  <w:t>☐</w:t>
                </w:r>
              </w:sdtContent>
            </w:sdt>
            <w:r>
              <w:rPr>
                <w:rFonts w:ascii="Leelawadee UI" w:hAnsi="Leelawadee UI" w:cs="Leelawadee UI"/>
              </w:rPr>
              <w:t xml:space="preserve">      </w:t>
            </w:r>
          </w:p>
        </w:tc>
      </w:tr>
      <w:tr w:rsidR="00244EE7" w:rsidTr="00672C77">
        <w:trPr>
          <w:trHeight w:val="432"/>
        </w:trPr>
        <w:tc>
          <w:tcPr>
            <w:tcW w:w="8730" w:type="dxa"/>
            <w:gridSpan w:val="2"/>
            <w:shd w:val="clear" w:color="auto" w:fill="DBE5F1" w:themeFill="accent1" w:themeFillTint="33"/>
          </w:tcPr>
          <w:p w:rsidR="00DF7700" w:rsidRPr="00EE7D84" w:rsidRDefault="00244EE7" w:rsidP="00672C77">
            <w:pPr>
              <w:rPr>
                <w:rFonts w:ascii="Leelawadee UI" w:hAnsi="Leelawadee UI" w:cs="Leelawadee UI"/>
              </w:rPr>
            </w:pPr>
            <w:r w:rsidRPr="0038714C">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F70B69">
              <w:rPr>
                <w:rFonts w:ascii="Leelawadee UI" w:hAnsi="Leelawadee UI" w:cs="Leelawadee UI"/>
              </w:rPr>
              <w:t>Implement support for standards to demonstrate compliance for sending patient data.</w:t>
            </w:r>
          </w:p>
        </w:tc>
      </w:tr>
    </w:tbl>
    <w:p w:rsidR="00244EE7" w:rsidRPr="00244EE7" w:rsidRDefault="00244EE7" w:rsidP="00244EE7"/>
    <w:p w:rsidR="00F70B69" w:rsidRDefault="00F70B69" w:rsidP="00F70B69">
      <w:pPr>
        <w:spacing w:line="360" w:lineRule="auto"/>
        <w:rPr>
          <w:color w:val="D9D9D9" w:themeColor="background1" w:themeShade="D9"/>
        </w:rPr>
      </w:pPr>
    </w:p>
    <w:tbl>
      <w:tblPr>
        <w:tblStyle w:val="TableGrid"/>
        <w:tblW w:w="8545" w:type="dxa"/>
        <w:tblLook w:val="04A0" w:firstRow="1" w:lastRow="0" w:firstColumn="1" w:lastColumn="0" w:noHBand="0" w:noVBand="1"/>
      </w:tblPr>
      <w:tblGrid>
        <w:gridCol w:w="456"/>
        <w:gridCol w:w="2689"/>
        <w:gridCol w:w="5400"/>
      </w:tblGrid>
      <w:tr w:rsidR="00F70B69" w:rsidRPr="005F4354" w:rsidTr="00351700">
        <w:trPr>
          <w:trHeight w:val="432"/>
        </w:trPr>
        <w:tc>
          <w:tcPr>
            <w:tcW w:w="8545" w:type="dxa"/>
            <w:gridSpan w:val="3"/>
            <w:shd w:val="clear" w:color="auto" w:fill="DBE5F1" w:themeFill="accent1" w:themeFillTint="33"/>
          </w:tcPr>
          <w:p w:rsidR="00F70B69" w:rsidRPr="005F4354" w:rsidRDefault="00F70B69" w:rsidP="00351700">
            <w:pPr>
              <w:rPr>
                <w:rFonts w:ascii="Leelawadee UI" w:hAnsi="Leelawadee UI" w:cs="Leelawadee UI"/>
                <w:b/>
              </w:rPr>
            </w:pPr>
            <w:r w:rsidRPr="00CD774E">
              <w:rPr>
                <w:rFonts w:ascii="Leelawadee UI" w:hAnsi="Leelawadee UI" w:cs="Leelawadee UI"/>
                <w:b/>
              </w:rPr>
              <w:t>§170.205 Content Exchange Standards – Patient Summary Record.</w:t>
            </w:r>
          </w:p>
        </w:tc>
      </w:tr>
      <w:tr w:rsidR="00F70B69" w:rsidRPr="00E074CB" w:rsidTr="00351700">
        <w:trPr>
          <w:trHeight w:val="432"/>
        </w:trPr>
        <w:sdt>
          <w:sdtPr>
            <w:id w:val="-682278107"/>
            <w14:checkbox>
              <w14:checked w14:val="0"/>
              <w14:checkedState w14:val="2612" w14:font="Arial"/>
              <w14:uncheckedState w14:val="2610" w14:font="Arial"/>
            </w14:checkbox>
          </w:sdtPr>
          <w:sdtEndPr/>
          <w:sdtContent>
            <w:tc>
              <w:tcPr>
                <w:tcW w:w="456" w:type="dxa"/>
              </w:tcPr>
              <w:p w:rsidR="00F70B69" w:rsidRDefault="00F70B69" w:rsidP="00351700">
                <w:r w:rsidRPr="000558FE">
                  <w:rPr>
                    <w:rFonts w:ascii="MS Gothic" w:eastAsia="MS Gothic" w:hAnsi="MS Gothic" w:hint="eastAsia"/>
                  </w:rPr>
                  <w:t>☐</w:t>
                </w:r>
              </w:p>
            </w:tc>
          </w:sdtContent>
        </w:sdt>
        <w:tc>
          <w:tcPr>
            <w:tcW w:w="2689" w:type="dxa"/>
          </w:tcPr>
          <w:p w:rsidR="00F70B69" w:rsidRPr="00E074CB" w:rsidRDefault="00F70B69" w:rsidP="00351700">
            <w:pPr>
              <w:rPr>
                <w:color w:val="000000" w:themeColor="text1"/>
              </w:rPr>
            </w:pPr>
            <w:r w:rsidRPr="00C216D5">
              <w:rPr>
                <w:color w:val="000000" w:themeColor="text1"/>
              </w:rPr>
              <w:t>§170.205(a)(4)</w:t>
            </w:r>
            <w:r w:rsidRPr="00E074CB">
              <w:rPr>
                <w:b/>
                <w:color w:val="000000" w:themeColor="text1"/>
              </w:rPr>
              <w:t xml:space="preserve"> </w:t>
            </w:r>
            <w:r>
              <w:rPr>
                <w:b/>
                <w:i/>
                <w:iCs/>
                <w:color w:val="000000" w:themeColor="text1"/>
              </w:rPr>
              <w:t xml:space="preserve"> </w:t>
            </w:r>
            <w:r w:rsidRPr="00E074CB">
              <w:rPr>
                <w:color w:val="000000" w:themeColor="text1"/>
              </w:rPr>
              <w:t xml:space="preserve"> </w:t>
            </w:r>
          </w:p>
        </w:tc>
        <w:tc>
          <w:tcPr>
            <w:tcW w:w="5400" w:type="dxa"/>
          </w:tcPr>
          <w:p w:rsidR="00F70B69" w:rsidRPr="00E074CB" w:rsidRDefault="00F70B69" w:rsidP="00351700">
            <w:pPr>
              <w:rPr>
                <w:b/>
                <w:color w:val="000000" w:themeColor="text1"/>
              </w:rPr>
            </w:pPr>
            <w:r w:rsidRPr="00E074CB">
              <w:rPr>
                <w:color w:val="000000" w:themeColor="text1"/>
              </w:rPr>
              <w:t>HL7 Implementation Guide for CDA® Release 2: Consolidated CDA Templates for Clinical Notes (US Realm), Draft Standard for Trial Use, Volume 1—Introductory Material, Release 2.1 and HL7 Implementation Guide for CDA® Release 2: Consolidated CDA Templates for Clinical Notes (US Realm), Draft Standard for Trial Use, Volume 2—Templates and Supporting Material, Release 2.1 (incorporated by reference in § 170.299).</w:t>
            </w:r>
          </w:p>
        </w:tc>
      </w:tr>
      <w:tr w:rsidR="00F70B69" w:rsidRPr="005F4354" w:rsidTr="00351700">
        <w:trPr>
          <w:trHeight w:val="432"/>
        </w:trPr>
        <w:tc>
          <w:tcPr>
            <w:tcW w:w="8545" w:type="dxa"/>
            <w:gridSpan w:val="3"/>
            <w:shd w:val="clear" w:color="auto" w:fill="DBE5F1" w:themeFill="accent1" w:themeFillTint="33"/>
          </w:tcPr>
          <w:p w:rsidR="00F70B69" w:rsidRPr="005F4354" w:rsidRDefault="00F70B69" w:rsidP="00351700">
            <w:pPr>
              <w:rPr>
                <w:rFonts w:ascii="Leelawadee UI" w:hAnsi="Leelawadee UI" w:cs="Leelawadee UI"/>
                <w:b/>
              </w:rPr>
            </w:pPr>
            <w:r>
              <w:rPr>
                <w:rFonts w:ascii="Leelawadee UI" w:hAnsi="Leelawadee UI" w:cs="Leelawadee UI"/>
                <w:b/>
              </w:rPr>
              <w:t xml:space="preserve">§170.207  </w:t>
            </w:r>
            <w:r w:rsidRPr="00CD774E">
              <w:rPr>
                <w:rFonts w:ascii="Leelawadee UI" w:hAnsi="Leelawadee UI" w:cs="Leelawadee UI"/>
                <w:b/>
              </w:rPr>
              <w:t>Vocabulary standards for representing electronic health information</w:t>
            </w:r>
            <w:r>
              <w:rPr>
                <w:rFonts w:ascii="Leelawadee UI" w:hAnsi="Leelawadee UI" w:cs="Leelawadee UI"/>
                <w:b/>
              </w:rPr>
              <w:t xml:space="preserve"> * </w:t>
            </w:r>
          </w:p>
        </w:tc>
      </w:tr>
      <w:tr w:rsidR="00F70B69" w:rsidRPr="00CB4D6B" w:rsidTr="00351700">
        <w:trPr>
          <w:trHeight w:val="432"/>
        </w:trPr>
        <w:tc>
          <w:tcPr>
            <w:tcW w:w="456" w:type="dxa"/>
          </w:tcPr>
          <w:p w:rsidR="00F70B69" w:rsidRDefault="00F70B69" w:rsidP="00351700"/>
        </w:tc>
        <w:tc>
          <w:tcPr>
            <w:tcW w:w="2689" w:type="dxa"/>
          </w:tcPr>
          <w:p w:rsidR="00F70B69" w:rsidRPr="00CB4D6B" w:rsidRDefault="00F70B69" w:rsidP="00351700">
            <w:pPr>
              <w:outlineLvl w:val="3"/>
            </w:pPr>
            <w:r w:rsidRPr="00C216D5">
              <w:t xml:space="preserve">§170.207(a)(4)   </w:t>
            </w:r>
          </w:p>
        </w:tc>
        <w:tc>
          <w:tcPr>
            <w:tcW w:w="5400" w:type="dxa"/>
          </w:tcPr>
          <w:p w:rsidR="00F70B69" w:rsidRPr="00CB4D6B" w:rsidRDefault="00F70B69" w:rsidP="00351700">
            <w:pPr>
              <w:outlineLvl w:val="3"/>
            </w:pPr>
            <w:r w:rsidRPr="00CB4D6B">
              <w:t>IHTSDO SNOMED CT®, U.S. Edition, September 2015 Release.</w:t>
            </w:r>
          </w:p>
        </w:tc>
      </w:tr>
      <w:tr w:rsidR="00F70B69" w:rsidRPr="00CB4D6B" w:rsidTr="00351700">
        <w:trPr>
          <w:trHeight w:val="432"/>
        </w:trPr>
        <w:tc>
          <w:tcPr>
            <w:tcW w:w="456" w:type="dxa"/>
          </w:tcPr>
          <w:p w:rsidR="00F70B69" w:rsidRDefault="00F70B69" w:rsidP="00351700"/>
        </w:tc>
        <w:tc>
          <w:tcPr>
            <w:tcW w:w="2689" w:type="dxa"/>
          </w:tcPr>
          <w:p w:rsidR="00F70B69" w:rsidRPr="00CB4D6B" w:rsidRDefault="00F70B69" w:rsidP="00351700">
            <w:pPr>
              <w:outlineLvl w:val="3"/>
            </w:pPr>
            <w:r w:rsidRPr="00C216D5">
              <w:t xml:space="preserve">§170.207(b)(2)   </w:t>
            </w:r>
          </w:p>
        </w:tc>
        <w:tc>
          <w:tcPr>
            <w:tcW w:w="5400" w:type="dxa"/>
          </w:tcPr>
          <w:p w:rsidR="00F70B69" w:rsidRPr="00CB4D6B" w:rsidRDefault="00F70B69" w:rsidP="00351700">
            <w:pPr>
              <w:outlineLvl w:val="3"/>
            </w:pPr>
            <w:r w:rsidRPr="00CB4D6B">
              <w:t>45 CFR 162.1002(a)(5)—combination of HCPCS and CPT-4</w:t>
            </w:r>
          </w:p>
        </w:tc>
      </w:tr>
      <w:tr w:rsidR="00F70B69" w:rsidRPr="003E40F9" w:rsidTr="00351700">
        <w:trPr>
          <w:trHeight w:val="432"/>
        </w:trPr>
        <w:tc>
          <w:tcPr>
            <w:tcW w:w="456" w:type="dxa"/>
          </w:tcPr>
          <w:p w:rsidR="00F70B69" w:rsidRDefault="00F70B69" w:rsidP="00351700"/>
        </w:tc>
        <w:tc>
          <w:tcPr>
            <w:tcW w:w="2689" w:type="dxa"/>
          </w:tcPr>
          <w:p w:rsidR="00F70B69" w:rsidRPr="003E40F9" w:rsidRDefault="00F70B69" w:rsidP="00351700">
            <w:pPr>
              <w:outlineLvl w:val="3"/>
            </w:pPr>
            <w:r w:rsidRPr="00C216D5">
              <w:t xml:space="preserve">§170.207(b)(3)   </w:t>
            </w:r>
          </w:p>
        </w:tc>
        <w:tc>
          <w:tcPr>
            <w:tcW w:w="5400" w:type="dxa"/>
          </w:tcPr>
          <w:p w:rsidR="00F70B69" w:rsidRPr="003E40F9" w:rsidRDefault="00F70B69" w:rsidP="00351700">
            <w:pPr>
              <w:outlineLvl w:val="3"/>
            </w:pPr>
            <w:r w:rsidRPr="003E40F9">
              <w:t>45 CFR 162.1002(a</w:t>
            </w:r>
            <w:proofErr w:type="gramStart"/>
            <w:r w:rsidRPr="003E40F9">
              <w:t>)(</w:t>
            </w:r>
            <w:proofErr w:type="gramEnd"/>
            <w:r w:rsidRPr="003E40F9">
              <w:t>4)—Code on Dental Procedures and Nomenclature.</w:t>
            </w:r>
          </w:p>
        </w:tc>
      </w:tr>
      <w:tr w:rsidR="00F70B69" w:rsidRPr="003E40F9" w:rsidTr="00351700">
        <w:trPr>
          <w:trHeight w:val="503"/>
        </w:trPr>
        <w:tc>
          <w:tcPr>
            <w:tcW w:w="456" w:type="dxa"/>
          </w:tcPr>
          <w:p w:rsidR="00F70B69" w:rsidRDefault="00F70B69" w:rsidP="00351700"/>
        </w:tc>
        <w:tc>
          <w:tcPr>
            <w:tcW w:w="2689" w:type="dxa"/>
          </w:tcPr>
          <w:p w:rsidR="00F70B69" w:rsidRPr="003E40F9" w:rsidRDefault="00F70B69" w:rsidP="00351700">
            <w:pPr>
              <w:outlineLvl w:val="3"/>
            </w:pPr>
            <w:r>
              <w:t>§170.207(b)(4</w:t>
            </w:r>
            <w:r w:rsidRPr="00C216D5">
              <w:t xml:space="preserve">)   </w:t>
            </w:r>
          </w:p>
        </w:tc>
        <w:tc>
          <w:tcPr>
            <w:tcW w:w="5400" w:type="dxa"/>
          </w:tcPr>
          <w:p w:rsidR="00F70B69" w:rsidRPr="003E40F9" w:rsidRDefault="00F70B69" w:rsidP="00351700">
            <w:pPr>
              <w:outlineLvl w:val="3"/>
            </w:pPr>
            <w:r w:rsidRPr="003E40F9">
              <w:t>45 CFR 162.1002(c)(3)—ICD-10-PCS</w:t>
            </w:r>
          </w:p>
        </w:tc>
      </w:tr>
      <w:tr w:rsidR="00F70B69" w:rsidRPr="003E40F9" w:rsidTr="00351700">
        <w:trPr>
          <w:trHeight w:val="440"/>
        </w:trPr>
        <w:tc>
          <w:tcPr>
            <w:tcW w:w="456" w:type="dxa"/>
          </w:tcPr>
          <w:p w:rsidR="00F70B69" w:rsidRDefault="00F70B69" w:rsidP="00351700"/>
        </w:tc>
        <w:tc>
          <w:tcPr>
            <w:tcW w:w="2689" w:type="dxa"/>
          </w:tcPr>
          <w:p w:rsidR="00F70B69" w:rsidRPr="003E40F9" w:rsidRDefault="00F70B69" w:rsidP="00351700">
            <w:pPr>
              <w:outlineLvl w:val="3"/>
            </w:pPr>
            <w:r w:rsidRPr="00C216D5">
              <w:t xml:space="preserve">§170.207(c)(3)   </w:t>
            </w:r>
            <w:r w:rsidRPr="003E40F9">
              <w:t xml:space="preserve"> </w:t>
            </w:r>
          </w:p>
        </w:tc>
        <w:tc>
          <w:tcPr>
            <w:tcW w:w="5400" w:type="dxa"/>
          </w:tcPr>
          <w:p w:rsidR="00F70B69" w:rsidRPr="003E40F9" w:rsidRDefault="00F70B69" w:rsidP="00351700">
            <w:pPr>
              <w:outlineLvl w:val="3"/>
            </w:pPr>
            <w:r w:rsidRPr="003E40F9">
              <w:t>LOINC® Database version 2.52.</w:t>
            </w:r>
          </w:p>
        </w:tc>
      </w:tr>
      <w:tr w:rsidR="00F70B69" w:rsidRPr="003E40F9" w:rsidTr="00351700">
        <w:trPr>
          <w:trHeight w:val="530"/>
        </w:trPr>
        <w:tc>
          <w:tcPr>
            <w:tcW w:w="456" w:type="dxa"/>
          </w:tcPr>
          <w:p w:rsidR="00F70B69" w:rsidRDefault="00F70B69" w:rsidP="00351700"/>
        </w:tc>
        <w:tc>
          <w:tcPr>
            <w:tcW w:w="2689" w:type="dxa"/>
          </w:tcPr>
          <w:p w:rsidR="00F70B69" w:rsidRPr="003E40F9" w:rsidRDefault="00F70B69" w:rsidP="00351700">
            <w:pPr>
              <w:outlineLvl w:val="3"/>
            </w:pPr>
            <w:r w:rsidRPr="00C216D5">
              <w:t xml:space="preserve">§170.207(d)(3)   </w:t>
            </w:r>
            <w:r w:rsidRPr="003E40F9">
              <w:t xml:space="preserve"> </w:t>
            </w:r>
          </w:p>
        </w:tc>
        <w:tc>
          <w:tcPr>
            <w:tcW w:w="5400" w:type="dxa"/>
          </w:tcPr>
          <w:p w:rsidR="00F70B69" w:rsidRPr="003E40F9" w:rsidRDefault="00F70B69" w:rsidP="00351700">
            <w:pPr>
              <w:outlineLvl w:val="3"/>
            </w:pPr>
            <w:proofErr w:type="spellStart"/>
            <w:r w:rsidRPr="003E40F9">
              <w:t>RxNorm</w:t>
            </w:r>
            <w:proofErr w:type="spellEnd"/>
            <w:r w:rsidRPr="003E40F9">
              <w:t>, September 8, 2015 Release.</w:t>
            </w:r>
          </w:p>
        </w:tc>
      </w:tr>
      <w:tr w:rsidR="00F70B69" w:rsidRPr="003E40F9" w:rsidTr="00351700">
        <w:trPr>
          <w:trHeight w:val="432"/>
        </w:trPr>
        <w:tc>
          <w:tcPr>
            <w:tcW w:w="456" w:type="dxa"/>
          </w:tcPr>
          <w:p w:rsidR="00F70B69" w:rsidRDefault="00F70B69" w:rsidP="00351700"/>
        </w:tc>
        <w:tc>
          <w:tcPr>
            <w:tcW w:w="2689" w:type="dxa"/>
          </w:tcPr>
          <w:p w:rsidR="00F70B69" w:rsidRPr="003E40F9" w:rsidRDefault="00F70B69" w:rsidP="00351700">
            <w:pPr>
              <w:outlineLvl w:val="3"/>
            </w:pPr>
            <w:r w:rsidRPr="00C216D5">
              <w:t xml:space="preserve">§170.207(e)(3)   </w:t>
            </w:r>
            <w:r w:rsidRPr="003E40F9">
              <w:t xml:space="preserve"> </w:t>
            </w:r>
          </w:p>
        </w:tc>
        <w:tc>
          <w:tcPr>
            <w:tcW w:w="5400" w:type="dxa"/>
          </w:tcPr>
          <w:p w:rsidR="00F70B69" w:rsidRPr="003E40F9" w:rsidRDefault="00F70B69" w:rsidP="00351700">
            <w:pPr>
              <w:outlineLvl w:val="3"/>
            </w:pPr>
            <w:r w:rsidRPr="003E40F9">
              <w:t>HL7 CVX—Vaccines Administered, updates through August 17, 2015.</w:t>
            </w:r>
          </w:p>
        </w:tc>
      </w:tr>
      <w:tr w:rsidR="00F70B69" w:rsidRPr="003E40F9" w:rsidTr="00351700">
        <w:trPr>
          <w:trHeight w:val="432"/>
        </w:trPr>
        <w:tc>
          <w:tcPr>
            <w:tcW w:w="456" w:type="dxa"/>
          </w:tcPr>
          <w:p w:rsidR="00F70B69" w:rsidRDefault="00F70B69" w:rsidP="00351700"/>
        </w:tc>
        <w:tc>
          <w:tcPr>
            <w:tcW w:w="2689" w:type="dxa"/>
          </w:tcPr>
          <w:p w:rsidR="00F70B69" w:rsidRPr="003E40F9" w:rsidRDefault="00F70B69" w:rsidP="00351700">
            <w:pPr>
              <w:outlineLvl w:val="3"/>
            </w:pPr>
            <w:r w:rsidRPr="00C216D5">
              <w:t>§170.207</w:t>
            </w:r>
            <w:r w:rsidRPr="00CC63E8">
              <w:t xml:space="preserve">(e)(4)   </w:t>
            </w:r>
            <w:r w:rsidRPr="003E40F9">
              <w:t xml:space="preserve"> </w:t>
            </w:r>
          </w:p>
        </w:tc>
        <w:tc>
          <w:tcPr>
            <w:tcW w:w="5400" w:type="dxa"/>
          </w:tcPr>
          <w:p w:rsidR="00F70B69" w:rsidRPr="003E40F9" w:rsidRDefault="00F70B69" w:rsidP="00351700">
            <w:pPr>
              <w:outlineLvl w:val="3"/>
            </w:pPr>
            <w:r w:rsidRPr="003E40F9">
              <w:t>National Drug Code Directory—Vaccine Codes, updates through August 17, 2015.</w:t>
            </w:r>
          </w:p>
        </w:tc>
      </w:tr>
      <w:tr w:rsidR="00F70B69" w:rsidRPr="003E40F9" w:rsidTr="00351700">
        <w:trPr>
          <w:trHeight w:val="432"/>
        </w:trPr>
        <w:tc>
          <w:tcPr>
            <w:tcW w:w="456" w:type="dxa"/>
          </w:tcPr>
          <w:p w:rsidR="00F70B69" w:rsidRDefault="00F70B69" w:rsidP="00351700"/>
        </w:tc>
        <w:tc>
          <w:tcPr>
            <w:tcW w:w="2689" w:type="dxa"/>
          </w:tcPr>
          <w:p w:rsidR="00F70B69" w:rsidRPr="003E40F9" w:rsidRDefault="00F70B69" w:rsidP="00351700">
            <w:pPr>
              <w:outlineLvl w:val="3"/>
            </w:pPr>
            <w:r w:rsidRPr="00C216D5">
              <w:t>§170.207</w:t>
            </w:r>
            <w:r w:rsidRPr="00CC63E8">
              <w:t xml:space="preserve">(f)(1)   </w:t>
            </w:r>
          </w:p>
        </w:tc>
        <w:tc>
          <w:tcPr>
            <w:tcW w:w="5400" w:type="dxa"/>
          </w:tcPr>
          <w:p w:rsidR="00F70B69" w:rsidRPr="003E40F9" w:rsidRDefault="00F70B69" w:rsidP="00351700">
            <w:pPr>
              <w:outlineLvl w:val="3"/>
            </w:pPr>
            <w:r w:rsidRPr="003E40F9">
              <w:t>OMB as revised, October 30, 1997.</w:t>
            </w:r>
          </w:p>
        </w:tc>
      </w:tr>
      <w:tr w:rsidR="00F70B69" w:rsidRPr="003E40F9" w:rsidTr="00351700">
        <w:trPr>
          <w:trHeight w:val="432"/>
        </w:trPr>
        <w:tc>
          <w:tcPr>
            <w:tcW w:w="456" w:type="dxa"/>
          </w:tcPr>
          <w:p w:rsidR="00F70B69" w:rsidRDefault="00F70B69" w:rsidP="00351700"/>
        </w:tc>
        <w:tc>
          <w:tcPr>
            <w:tcW w:w="2689" w:type="dxa"/>
          </w:tcPr>
          <w:p w:rsidR="00F70B69" w:rsidRPr="003E40F9" w:rsidRDefault="00F70B69" w:rsidP="00351700">
            <w:pPr>
              <w:outlineLvl w:val="3"/>
            </w:pPr>
            <w:r w:rsidRPr="00C216D5">
              <w:t>§170.207</w:t>
            </w:r>
            <w:r w:rsidRPr="00CC63E8">
              <w:t xml:space="preserve">(f)(2)   </w:t>
            </w:r>
            <w:r w:rsidRPr="003E40F9">
              <w:t xml:space="preserve"> </w:t>
            </w:r>
          </w:p>
        </w:tc>
        <w:tc>
          <w:tcPr>
            <w:tcW w:w="5400" w:type="dxa"/>
          </w:tcPr>
          <w:p w:rsidR="00F70B69" w:rsidRPr="003E40F9" w:rsidRDefault="00F70B69" w:rsidP="00351700">
            <w:pPr>
              <w:outlineLvl w:val="3"/>
            </w:pPr>
            <w:r w:rsidRPr="003E40F9">
              <w:t>CDC Race and Ethnicity Code Set Version 1.0 (March 2000) (incorporated by reference in § 170.299).</w:t>
            </w:r>
          </w:p>
        </w:tc>
      </w:tr>
      <w:tr w:rsidR="00F70B69" w:rsidRPr="003E40F9" w:rsidTr="00351700">
        <w:trPr>
          <w:trHeight w:val="432"/>
        </w:trPr>
        <w:tc>
          <w:tcPr>
            <w:tcW w:w="456" w:type="dxa"/>
          </w:tcPr>
          <w:p w:rsidR="00F70B69" w:rsidRDefault="00F70B69" w:rsidP="00351700"/>
        </w:tc>
        <w:tc>
          <w:tcPr>
            <w:tcW w:w="2689" w:type="dxa"/>
          </w:tcPr>
          <w:p w:rsidR="00F70B69" w:rsidRPr="003E40F9" w:rsidRDefault="00F70B69" w:rsidP="00351700">
            <w:pPr>
              <w:outlineLvl w:val="3"/>
            </w:pPr>
            <w:r w:rsidRPr="00C216D5">
              <w:t>§170.207</w:t>
            </w:r>
            <w:r w:rsidRPr="00CC63E8">
              <w:t xml:space="preserve">(g)(2)   </w:t>
            </w:r>
            <w:r w:rsidRPr="003E40F9">
              <w:t xml:space="preserve"> </w:t>
            </w:r>
          </w:p>
        </w:tc>
        <w:tc>
          <w:tcPr>
            <w:tcW w:w="5400" w:type="dxa"/>
          </w:tcPr>
          <w:p w:rsidR="00F70B69" w:rsidRPr="003E40F9" w:rsidRDefault="00F70B69" w:rsidP="00351700">
            <w:pPr>
              <w:outlineLvl w:val="3"/>
            </w:pPr>
            <w:r w:rsidRPr="003E40F9">
              <w:t>Request for Comments (RFC) 5646 (incorporated by reference in § 170.299).</w:t>
            </w:r>
          </w:p>
        </w:tc>
      </w:tr>
      <w:tr w:rsidR="00F70B69" w:rsidRPr="003E40F9" w:rsidTr="00351700">
        <w:trPr>
          <w:trHeight w:val="432"/>
        </w:trPr>
        <w:tc>
          <w:tcPr>
            <w:tcW w:w="456" w:type="dxa"/>
          </w:tcPr>
          <w:p w:rsidR="00F70B69" w:rsidRDefault="00F70B69" w:rsidP="00351700"/>
        </w:tc>
        <w:tc>
          <w:tcPr>
            <w:tcW w:w="2689" w:type="dxa"/>
          </w:tcPr>
          <w:p w:rsidR="00F70B69" w:rsidRPr="003E40F9" w:rsidRDefault="00F70B69" w:rsidP="00351700">
            <w:pPr>
              <w:outlineLvl w:val="3"/>
            </w:pPr>
            <w:r w:rsidRPr="00C216D5">
              <w:t>§170.207</w:t>
            </w:r>
            <w:r w:rsidRPr="00CC63E8">
              <w:t xml:space="preserve">(h)   </w:t>
            </w:r>
          </w:p>
        </w:tc>
        <w:tc>
          <w:tcPr>
            <w:tcW w:w="5400" w:type="dxa"/>
          </w:tcPr>
          <w:p w:rsidR="00F70B69" w:rsidRPr="003E40F9" w:rsidRDefault="00F70B69" w:rsidP="00351700">
            <w:pPr>
              <w:outlineLvl w:val="3"/>
            </w:pPr>
            <w:r w:rsidRPr="003E40F9">
              <w:t>Smoking status constrained codes from SNOMED CT®.</w:t>
            </w:r>
          </w:p>
        </w:tc>
      </w:tr>
      <w:tr w:rsidR="00F70B69" w:rsidRPr="003E40F9" w:rsidTr="00351700">
        <w:trPr>
          <w:trHeight w:val="432"/>
        </w:trPr>
        <w:tc>
          <w:tcPr>
            <w:tcW w:w="456" w:type="dxa"/>
          </w:tcPr>
          <w:p w:rsidR="00F70B69" w:rsidRDefault="00F70B69" w:rsidP="00351700"/>
        </w:tc>
        <w:tc>
          <w:tcPr>
            <w:tcW w:w="2689" w:type="dxa"/>
          </w:tcPr>
          <w:p w:rsidR="00F70B69" w:rsidRPr="003E40F9" w:rsidRDefault="00F70B69" w:rsidP="00351700">
            <w:pPr>
              <w:outlineLvl w:val="3"/>
            </w:pPr>
            <w:r w:rsidRPr="00C216D5">
              <w:t>§170.207</w:t>
            </w:r>
            <w:r w:rsidRPr="00CC63E8">
              <w:t>(m)</w:t>
            </w:r>
            <w:r>
              <w:t>(1)</w:t>
            </w:r>
          </w:p>
        </w:tc>
        <w:tc>
          <w:tcPr>
            <w:tcW w:w="5400" w:type="dxa"/>
          </w:tcPr>
          <w:p w:rsidR="00F70B69" w:rsidRPr="003E40F9" w:rsidRDefault="00F70B69" w:rsidP="00351700">
            <w:pPr>
              <w:outlineLvl w:val="3"/>
            </w:pPr>
            <w:r w:rsidRPr="00543212">
              <w:t>Numerical references—(1) Standard.</w:t>
            </w:r>
            <w:r w:rsidRPr="003E40F9">
              <w:t xml:space="preserve"> The Unified Code of Units of Measure, Revision 1.9 (incorporated by reference in § 170.299).</w:t>
            </w:r>
          </w:p>
        </w:tc>
      </w:tr>
      <w:tr w:rsidR="00F70B69" w:rsidRPr="003E40F9" w:rsidTr="00351700">
        <w:trPr>
          <w:trHeight w:val="432"/>
        </w:trPr>
        <w:tc>
          <w:tcPr>
            <w:tcW w:w="456" w:type="dxa"/>
          </w:tcPr>
          <w:p w:rsidR="00F70B69" w:rsidRDefault="00F70B69" w:rsidP="00351700"/>
        </w:tc>
        <w:tc>
          <w:tcPr>
            <w:tcW w:w="2689" w:type="dxa"/>
          </w:tcPr>
          <w:p w:rsidR="00F70B69" w:rsidRDefault="00F70B69" w:rsidP="00351700">
            <w:pPr>
              <w:outlineLvl w:val="3"/>
            </w:pPr>
            <w:r w:rsidRPr="00C216D5">
              <w:t>§170.207</w:t>
            </w:r>
            <w:r w:rsidRPr="00CC63E8">
              <w:t xml:space="preserve">(n)(1)   </w:t>
            </w:r>
          </w:p>
          <w:p w:rsidR="00F70B69" w:rsidRDefault="00F70B69" w:rsidP="00351700">
            <w:pPr>
              <w:outlineLvl w:val="3"/>
            </w:pPr>
          </w:p>
        </w:tc>
        <w:tc>
          <w:tcPr>
            <w:tcW w:w="5400" w:type="dxa"/>
          </w:tcPr>
          <w:p w:rsidR="00F70B69" w:rsidRDefault="00F70B69" w:rsidP="00351700">
            <w:pPr>
              <w:outlineLvl w:val="3"/>
            </w:pPr>
            <w:r w:rsidRPr="003E40F9">
              <w:t xml:space="preserve">Birth sex must be coded in accordance with HL7 Version 3 Standard, Value Sets for </w:t>
            </w:r>
            <w:proofErr w:type="spellStart"/>
            <w:r w:rsidRPr="003E40F9">
              <w:t>AdministrativeGender</w:t>
            </w:r>
            <w:proofErr w:type="spellEnd"/>
            <w:r w:rsidRPr="003E40F9">
              <w:t xml:space="preserve"> and </w:t>
            </w:r>
            <w:proofErr w:type="spellStart"/>
            <w:r w:rsidRPr="003E40F9">
              <w:t>NullFlavor</w:t>
            </w:r>
            <w:proofErr w:type="spellEnd"/>
            <w:r w:rsidRPr="003E40F9">
              <w:t xml:space="preserve"> (incorporated by reference in § 170.299), attributed as follows:</w:t>
            </w:r>
          </w:p>
          <w:p w:rsidR="00F70B69" w:rsidRDefault="00F70B69" w:rsidP="00351700">
            <w:pPr>
              <w:outlineLvl w:val="3"/>
            </w:pPr>
            <w:r w:rsidRPr="00883948">
              <w:t>(</w:t>
            </w:r>
            <w:proofErr w:type="spellStart"/>
            <w:r w:rsidRPr="00883948">
              <w:t>i</w:t>
            </w:r>
            <w:proofErr w:type="spellEnd"/>
            <w:r w:rsidRPr="00883948">
              <w:t>) Male. M (ii) Female. F</w:t>
            </w:r>
            <w:r>
              <w:t xml:space="preserve"> </w:t>
            </w:r>
          </w:p>
          <w:p w:rsidR="00F70B69" w:rsidRPr="003E40F9" w:rsidRDefault="00F70B69" w:rsidP="00351700">
            <w:pPr>
              <w:outlineLvl w:val="3"/>
            </w:pPr>
            <w:r w:rsidRPr="00883948">
              <w:t xml:space="preserve">(iii) Unknown. </w:t>
            </w:r>
            <w:proofErr w:type="spellStart"/>
            <w:r w:rsidRPr="00883948">
              <w:t>nullFlavor</w:t>
            </w:r>
            <w:proofErr w:type="spellEnd"/>
            <w:r w:rsidRPr="00883948">
              <w:t xml:space="preserve"> UNK</w:t>
            </w:r>
          </w:p>
        </w:tc>
      </w:tr>
    </w:tbl>
    <w:p w:rsidR="00F70B69" w:rsidRDefault="00F70B69">
      <w:pPr>
        <w:rPr>
          <w:rFonts w:ascii="Arial" w:hAnsi="Arial" w:cs="Arial"/>
          <w:b/>
          <w:bCs/>
          <w:kern w:val="32"/>
          <w:sz w:val="32"/>
          <w:szCs w:val="32"/>
        </w:rPr>
      </w:pPr>
      <w:r>
        <w:br w:type="page"/>
      </w:r>
    </w:p>
    <w:p w:rsidR="002E3259" w:rsidRDefault="00414966" w:rsidP="00FD7F7E">
      <w:pPr>
        <w:pStyle w:val="Heading1"/>
      </w:pPr>
      <w:bookmarkStart w:id="5" w:name="_170.315(g)(9)(i)_All_Data"/>
      <w:bookmarkStart w:id="6" w:name="_170.315(g)(9)_Application_Access"/>
      <w:bookmarkEnd w:id="5"/>
      <w:bookmarkEnd w:id="6"/>
      <w:r>
        <w:lastRenderedPageBreak/>
        <w:t>170.315</w:t>
      </w:r>
      <w:r w:rsidR="00487B71">
        <w:t>(g</w:t>
      </w:r>
      <w:proofErr w:type="gramStart"/>
      <w:r w:rsidR="00930206">
        <w:t>)(</w:t>
      </w:r>
      <w:proofErr w:type="gramEnd"/>
      <w:r w:rsidR="00487B71">
        <w:t>9</w:t>
      </w:r>
      <w:r w:rsidR="00FD7F7E">
        <w:t>)</w:t>
      </w:r>
      <w:r w:rsidR="00337F3D">
        <w:t xml:space="preserve"> Application Access -</w:t>
      </w:r>
      <w:r w:rsidR="00FD7F7E">
        <w:t xml:space="preserve"> </w:t>
      </w:r>
      <w:r w:rsidR="00487B71">
        <w:t>All Data Request</w:t>
      </w:r>
      <w:r w:rsidR="002E3259" w:rsidRPr="002E3259">
        <w:t xml:space="preserve"> </w:t>
      </w:r>
    </w:p>
    <w:p w:rsidR="00487B71" w:rsidRDefault="00487B71" w:rsidP="00487B71"/>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487B71" w:rsidTr="00672C77">
        <w:trPr>
          <w:trHeight w:val="432"/>
        </w:trPr>
        <w:tc>
          <w:tcPr>
            <w:tcW w:w="3870" w:type="dxa"/>
            <w:shd w:val="clear" w:color="auto" w:fill="DBE5F1" w:themeFill="accent1" w:themeFillTint="33"/>
          </w:tcPr>
          <w:p w:rsidR="00487B71" w:rsidRPr="00255DC9" w:rsidRDefault="00487B71" w:rsidP="00672C77">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487B71" w:rsidRPr="00255DC9" w:rsidRDefault="00487B71" w:rsidP="00672C77">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768734380"/>
                <w14:checkbox>
                  <w14:checked w14:val="0"/>
                  <w14:checkedState w14:val="2612" w14:font="Arial"/>
                  <w14:uncheckedState w14:val="2610" w14:font="Arial"/>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w:t>
            </w:r>
            <w:r w:rsidRPr="00255DC9">
              <w:rPr>
                <w:rFonts w:ascii="Leelawadee UI" w:hAnsi="Leelawadee UI" w:cs="Leelawadee UI"/>
              </w:rPr>
              <w:t xml:space="preserve"> FAIL:  </w:t>
            </w:r>
            <w:sdt>
              <w:sdtPr>
                <w:rPr>
                  <w:rFonts w:ascii="Leelawadee UI" w:hAnsi="Leelawadee UI" w:cs="Leelawadee UI"/>
                </w:rPr>
                <w:id w:val="732051579"/>
                <w14:checkbox>
                  <w14:checked w14:val="0"/>
                  <w14:checkedState w14:val="2612" w14:font="Arial"/>
                  <w14:uncheckedState w14:val="2610" w14:font="Arial"/>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w:t>
            </w:r>
            <w:r w:rsidRPr="00255DC9">
              <w:rPr>
                <w:rFonts w:ascii="Leelawadee UI" w:hAnsi="Leelawadee UI" w:cs="Leelawadee UI"/>
              </w:rPr>
              <w:t xml:space="preserve">  No Attempt: </w:t>
            </w:r>
            <w:sdt>
              <w:sdtPr>
                <w:rPr>
                  <w:rFonts w:ascii="Leelawadee UI" w:hAnsi="Leelawadee UI" w:cs="Leelawadee UI"/>
                </w:rPr>
                <w:id w:val="385921484"/>
                <w14:checkbox>
                  <w14:checked w14:val="0"/>
                  <w14:checkedState w14:val="2612" w14:font="Arial"/>
                  <w14:uncheckedState w14:val="2610" w14:font="Arial"/>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487B71" w:rsidTr="00672C77">
        <w:trPr>
          <w:trHeight w:val="432"/>
        </w:trPr>
        <w:tc>
          <w:tcPr>
            <w:tcW w:w="3870" w:type="dxa"/>
            <w:shd w:val="clear" w:color="auto" w:fill="DBE5F1" w:themeFill="accent1" w:themeFillTint="33"/>
          </w:tcPr>
          <w:p w:rsidR="00487B71" w:rsidRPr="00255DC9" w:rsidRDefault="00487B71" w:rsidP="00672C77">
            <w:pPr>
              <w:rPr>
                <w:rFonts w:ascii="Leelawadee UI" w:hAnsi="Leelawadee UI" w:cs="Leelawadee UI"/>
                <w:b/>
              </w:rPr>
            </w:pPr>
            <w:r>
              <w:rPr>
                <w:rFonts w:ascii="Leelawadee UI" w:hAnsi="Leelawadee UI" w:cs="Leelawadee UI"/>
                <w:b/>
              </w:rPr>
              <w:t>Optional Field Included?</w:t>
            </w:r>
          </w:p>
        </w:tc>
        <w:tc>
          <w:tcPr>
            <w:tcW w:w="4860" w:type="dxa"/>
            <w:shd w:val="clear" w:color="auto" w:fill="DBE5F1" w:themeFill="accent1" w:themeFillTint="33"/>
          </w:tcPr>
          <w:p w:rsidR="00487B71" w:rsidRPr="00255DC9" w:rsidRDefault="00487B71" w:rsidP="00672C77">
            <w:pPr>
              <w:rPr>
                <w:rFonts w:ascii="Leelawadee UI" w:hAnsi="Leelawadee UI" w:cs="Leelawadee UI"/>
              </w:rPr>
            </w:pPr>
            <w:r>
              <w:rPr>
                <w:rFonts w:ascii="Leelawadee UI" w:hAnsi="Leelawadee UI" w:cs="Leelawadee UI"/>
              </w:rPr>
              <w:t>YES</w:t>
            </w:r>
            <w:r w:rsidRPr="00255DC9">
              <w:rPr>
                <w:rFonts w:ascii="Leelawadee UI" w:hAnsi="Leelawadee UI" w:cs="Leelawadee UI"/>
              </w:rPr>
              <w:t xml:space="preserve">: </w:t>
            </w:r>
            <w:sdt>
              <w:sdtPr>
                <w:rPr>
                  <w:rFonts w:ascii="Leelawadee UI" w:hAnsi="Leelawadee UI" w:cs="Leelawadee UI"/>
                </w:rPr>
                <w:id w:val="1385604627"/>
                <w14:checkbox>
                  <w14:checked w14:val="0"/>
                  <w14:checkedState w14:val="2612" w14:font="Arial"/>
                  <w14:uncheckedState w14:val="2610" w14:font="Arial"/>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w:t>
            </w:r>
            <w:r w:rsidRPr="00255DC9">
              <w:rPr>
                <w:rFonts w:ascii="Leelawadee UI" w:hAnsi="Leelawadee UI" w:cs="Leelawadee UI"/>
              </w:rPr>
              <w:t xml:space="preserve"> </w:t>
            </w:r>
            <w:r>
              <w:rPr>
                <w:rFonts w:ascii="Leelawadee UI" w:hAnsi="Leelawadee UI" w:cs="Leelawadee UI"/>
              </w:rPr>
              <w:t xml:space="preserve">  NO</w:t>
            </w:r>
            <w:r w:rsidRPr="00255DC9">
              <w:rPr>
                <w:rFonts w:ascii="Leelawadee UI" w:hAnsi="Leelawadee UI" w:cs="Leelawadee UI"/>
              </w:rPr>
              <w:t xml:space="preserve">:  </w:t>
            </w:r>
            <w:sdt>
              <w:sdtPr>
                <w:rPr>
                  <w:rFonts w:ascii="Leelawadee UI" w:hAnsi="Leelawadee UI" w:cs="Leelawadee UI"/>
                </w:rPr>
                <w:id w:val="-2135468793"/>
                <w14:checkbox>
                  <w14:checked w14:val="0"/>
                  <w14:checkedState w14:val="2612" w14:font="Arial"/>
                  <w14:uncheckedState w14:val="2610" w14:font="Arial"/>
                </w14:checkbox>
              </w:sdtPr>
              <w:sdtEndPr/>
              <w:sdtContent>
                <w:r w:rsidRPr="00255DC9">
                  <w:rPr>
                    <w:rFonts w:ascii="Segoe UI Symbol" w:hAnsi="Segoe UI Symbol" w:cs="Segoe UI Symbol"/>
                  </w:rPr>
                  <w:t>☐</w:t>
                </w:r>
              </w:sdtContent>
            </w:sdt>
          </w:p>
        </w:tc>
      </w:tr>
      <w:tr w:rsidR="00487B71" w:rsidTr="00672C77">
        <w:trPr>
          <w:trHeight w:val="432"/>
        </w:trPr>
        <w:tc>
          <w:tcPr>
            <w:tcW w:w="8730" w:type="dxa"/>
            <w:gridSpan w:val="2"/>
            <w:shd w:val="clear" w:color="auto" w:fill="DBE5F1" w:themeFill="accent1" w:themeFillTint="33"/>
          </w:tcPr>
          <w:p w:rsidR="00487B71" w:rsidRDefault="00487B71" w:rsidP="00672C77">
            <w:r w:rsidRPr="00255DC9">
              <w:rPr>
                <w:rFonts w:ascii="Leelawadee UI" w:hAnsi="Leelawadee UI" w:cs="Leelawadee UI"/>
                <w:b/>
              </w:rPr>
              <w:t>Instructions:</w:t>
            </w:r>
            <w:r w:rsidRPr="00255DC9">
              <w:rPr>
                <w:rFonts w:ascii="Leelawadee UI" w:hAnsi="Leelawadee UI" w:cs="Leelawadee UI"/>
              </w:rPr>
              <w:t xml:space="preserve"> </w:t>
            </w:r>
          </w:p>
          <w:p w:rsidR="005256AF" w:rsidRDefault="00732108" w:rsidP="00672C77">
            <w:pPr>
              <w:pStyle w:val="ListParagraph"/>
              <w:numPr>
                <w:ilvl w:val="0"/>
                <w:numId w:val="29"/>
              </w:numPr>
            </w:pPr>
            <w:r>
              <w:t>User</w:t>
            </w:r>
            <w:r w:rsidR="00487B71">
              <w:t xml:space="preserve"> </w:t>
            </w:r>
            <w:r w:rsidR="00DE2CBB">
              <w:t>makes an</w:t>
            </w:r>
            <w:r w:rsidR="00487B71">
              <w:t xml:space="preserve"> </w:t>
            </w:r>
            <w:r w:rsidR="00DE2CBB">
              <w:t xml:space="preserve">API request </w:t>
            </w:r>
            <w:r w:rsidR="00672C77">
              <w:t xml:space="preserve">(using test client) </w:t>
            </w:r>
            <w:r w:rsidR="00DE2CBB">
              <w:t>for a C-CDA R2.1 Continuity of Care Document for the test Patient using a Patient ID or other token</w:t>
            </w:r>
            <w:r w:rsidR="005256AF">
              <w:t xml:space="preserve"> based upon:</w:t>
            </w:r>
          </w:p>
          <w:p w:rsidR="00DE2CBB" w:rsidRDefault="005256AF" w:rsidP="005F5D3D">
            <w:pPr>
              <w:pStyle w:val="ListParagraph"/>
              <w:numPr>
                <w:ilvl w:val="0"/>
                <w:numId w:val="45"/>
              </w:numPr>
              <w:ind w:left="1782"/>
            </w:pPr>
            <w:r>
              <w:t>a specific date request; and</w:t>
            </w:r>
          </w:p>
          <w:p w:rsidR="005256AF" w:rsidRDefault="005256AF" w:rsidP="005F5D3D">
            <w:pPr>
              <w:pStyle w:val="ListParagraph"/>
              <w:numPr>
                <w:ilvl w:val="0"/>
                <w:numId w:val="45"/>
              </w:numPr>
              <w:ind w:left="1782"/>
            </w:pPr>
            <w:r>
              <w:t>a date range</w:t>
            </w:r>
          </w:p>
          <w:p w:rsidR="008F7350" w:rsidRDefault="00732108" w:rsidP="005179F7">
            <w:pPr>
              <w:pStyle w:val="ListParagraph"/>
              <w:numPr>
                <w:ilvl w:val="0"/>
                <w:numId w:val="29"/>
              </w:numPr>
            </w:pPr>
            <w:r>
              <w:t>Proctor</w:t>
            </w:r>
            <w:r w:rsidR="008F7350">
              <w:t xml:space="preserve"> validat</w:t>
            </w:r>
            <w:r>
              <w:t xml:space="preserve">es the CCD with the ETT and performs a </w:t>
            </w:r>
            <w:r w:rsidR="008F7350">
              <w:t>visual inspection to verify the CCD contains all required data in the CCDS and records results in the CCDS table below.</w:t>
            </w:r>
          </w:p>
          <w:p w:rsidR="00487B71" w:rsidRPr="008C3B5F" w:rsidRDefault="00732108" w:rsidP="00470883">
            <w:pPr>
              <w:pStyle w:val="ListParagraph"/>
              <w:numPr>
                <w:ilvl w:val="0"/>
                <w:numId w:val="29"/>
              </w:numPr>
            </w:pPr>
            <w:r>
              <w:t>User</w:t>
            </w:r>
            <w:r w:rsidR="00672C77">
              <w:t xml:space="preserve"> makes an API request (using test client) for a C-CDA R2.1 Continuity of Care Document for the test Patient using a P</w:t>
            </w:r>
            <w:r w:rsidR="00963764">
              <w:t>atient ID or other token and a d</w:t>
            </w:r>
            <w:r w:rsidR="00672C77">
              <w:t>ate range.</w:t>
            </w:r>
          </w:p>
        </w:tc>
      </w:tr>
      <w:tr w:rsidR="00487B71" w:rsidTr="00672C77">
        <w:trPr>
          <w:trHeight w:val="432"/>
        </w:trPr>
        <w:tc>
          <w:tcPr>
            <w:tcW w:w="8730" w:type="dxa"/>
            <w:gridSpan w:val="2"/>
            <w:shd w:val="clear" w:color="auto" w:fill="DBE5F1" w:themeFill="accent1" w:themeFillTint="33"/>
          </w:tcPr>
          <w:p w:rsidR="00487B71" w:rsidRDefault="00487B71" w:rsidP="00672C77">
            <w:pPr>
              <w:rPr>
                <w:rFonts w:ascii="Leelawadee UI" w:hAnsi="Leelawadee UI" w:cs="Leelawadee UI"/>
                <w:b/>
              </w:rPr>
            </w:pPr>
            <w:r w:rsidRPr="00255DC9">
              <w:rPr>
                <w:rFonts w:ascii="Leelawadee UI" w:hAnsi="Leelawadee UI" w:cs="Leelawadee UI"/>
                <w:b/>
              </w:rPr>
              <w:t xml:space="preserve">Expected Test Result: </w:t>
            </w:r>
          </w:p>
          <w:p w:rsidR="0025198E" w:rsidRDefault="0025198E" w:rsidP="0025198E">
            <w:pPr>
              <w:pStyle w:val="ListParagraph"/>
              <w:numPr>
                <w:ilvl w:val="0"/>
                <w:numId w:val="27"/>
              </w:numPr>
            </w:pPr>
            <w:r w:rsidRPr="0025198E">
              <w:t xml:space="preserve">Respond to requests for patient data for all of the data categories specified in the Common Clinical Data Set at one time and return such data (according to the specified standards, where applicable) in a summary record formatted according to the standard adopted at § 170.205(a)(4) following the CCD document template. </w:t>
            </w:r>
          </w:p>
          <w:p w:rsidR="0025198E" w:rsidRDefault="0025198E" w:rsidP="0025198E">
            <w:pPr>
              <w:pStyle w:val="ListParagraph"/>
              <w:numPr>
                <w:ilvl w:val="0"/>
                <w:numId w:val="27"/>
              </w:numPr>
            </w:pPr>
            <w:r w:rsidRPr="0025198E">
              <w:t>Respond to requests for patient data associated with a specific date as well as requests for patient data within a specified date range</w:t>
            </w:r>
            <w:r>
              <w:t>.</w:t>
            </w:r>
            <w:r w:rsidR="00156719">
              <w:t xml:space="preserve">  If a date range is specified, the CCD only contains data within the date range specified.</w:t>
            </w:r>
          </w:p>
          <w:p w:rsidR="00DE2CBB" w:rsidRDefault="00DE2CBB" w:rsidP="0025198E">
            <w:pPr>
              <w:pStyle w:val="ListParagraph"/>
              <w:numPr>
                <w:ilvl w:val="0"/>
                <w:numId w:val="27"/>
              </w:numPr>
            </w:pPr>
            <w:r>
              <w:t xml:space="preserve">The API returns </w:t>
            </w:r>
            <w:r w:rsidRPr="000738B7">
              <w:t>t</w:t>
            </w:r>
            <w:r>
              <w:t>he required C-CDA R2.1 CCD document</w:t>
            </w:r>
            <w:r w:rsidRPr="000738B7">
              <w:t xml:space="preserve"> based on the setting being tested for certification.</w:t>
            </w:r>
          </w:p>
          <w:p w:rsidR="00487B71" w:rsidRPr="00156719" w:rsidRDefault="00156719" w:rsidP="00470883">
            <w:pPr>
              <w:pStyle w:val="ListParagraph"/>
              <w:numPr>
                <w:ilvl w:val="0"/>
                <w:numId w:val="27"/>
              </w:numPr>
              <w:rPr>
                <w:rFonts w:ascii="Leelawadee UI" w:hAnsi="Leelawadee UI" w:cs="Leelawadee UI"/>
                <w:b/>
              </w:rPr>
            </w:pPr>
            <w:r w:rsidRPr="00156719">
              <w:t>API must include accompanying documentation that contains at a minimum</w:t>
            </w:r>
            <w:r>
              <w:t>:</w:t>
            </w:r>
          </w:p>
          <w:p w:rsidR="00156719" w:rsidRPr="00156719" w:rsidRDefault="00156719" w:rsidP="00156719">
            <w:pPr>
              <w:pStyle w:val="ListParagraph"/>
              <w:numPr>
                <w:ilvl w:val="0"/>
                <w:numId w:val="45"/>
              </w:numPr>
              <w:ind w:left="1782"/>
              <w:rPr>
                <w:rFonts w:ascii="Leelawadee UI" w:hAnsi="Leelawadee UI" w:cs="Leelawadee UI"/>
                <w:b/>
              </w:rPr>
            </w:pPr>
            <w:r w:rsidRPr="00156719">
              <w:t xml:space="preserve">API syntax, function names, required and optional parameters and their data types, return variables and their types/structures, exceptions and exception handling methods and their returns. </w:t>
            </w:r>
          </w:p>
          <w:p w:rsidR="00156719" w:rsidRPr="00156719" w:rsidRDefault="00156719" w:rsidP="00156719">
            <w:pPr>
              <w:pStyle w:val="ListParagraph"/>
              <w:numPr>
                <w:ilvl w:val="0"/>
                <w:numId w:val="45"/>
              </w:numPr>
              <w:ind w:left="1782"/>
              <w:rPr>
                <w:rFonts w:ascii="Leelawadee UI" w:hAnsi="Leelawadee UI" w:cs="Leelawadee UI"/>
                <w:b/>
              </w:rPr>
            </w:pPr>
            <w:r w:rsidRPr="00156719">
              <w:t>The software components and configurations that would be necessary for an application to implement in order to be able to successfully interact with the API a</w:t>
            </w:r>
            <w:r>
              <w:t xml:space="preserve">nd process its response(s). </w:t>
            </w:r>
          </w:p>
          <w:p w:rsidR="00156719" w:rsidRPr="00156719" w:rsidRDefault="00156719" w:rsidP="00156719">
            <w:pPr>
              <w:pStyle w:val="ListParagraph"/>
              <w:numPr>
                <w:ilvl w:val="0"/>
                <w:numId w:val="45"/>
              </w:numPr>
              <w:ind w:left="1782"/>
              <w:rPr>
                <w:rFonts w:ascii="Leelawadee UI" w:hAnsi="Leelawadee UI" w:cs="Leelawadee UI"/>
                <w:b/>
              </w:rPr>
            </w:pPr>
            <w:r w:rsidRPr="00156719">
              <w:t>Terms of use. The terms of use for the API must be provided, including, at a minimum, any associated developer policies and required developer agreements.</w:t>
            </w:r>
          </w:p>
          <w:p w:rsidR="00156719" w:rsidRPr="00156719" w:rsidRDefault="00156719" w:rsidP="00156719">
            <w:pPr>
              <w:pStyle w:val="ListParagraph"/>
              <w:numPr>
                <w:ilvl w:val="0"/>
                <w:numId w:val="45"/>
              </w:numPr>
              <w:ind w:left="1782"/>
              <w:rPr>
                <w:rFonts w:ascii="Leelawadee UI" w:hAnsi="Leelawadee UI" w:cs="Leelawadee UI"/>
                <w:b/>
              </w:rPr>
            </w:pPr>
            <w:r>
              <w:t>Documentation must be available via publicly accessible hyperlink</w:t>
            </w:r>
          </w:p>
        </w:tc>
      </w:tr>
      <w:tr w:rsidR="00487B71" w:rsidTr="00672C77">
        <w:trPr>
          <w:trHeight w:val="432"/>
        </w:trPr>
        <w:tc>
          <w:tcPr>
            <w:tcW w:w="8730" w:type="dxa"/>
            <w:gridSpan w:val="2"/>
            <w:shd w:val="clear" w:color="auto" w:fill="DBE5F1" w:themeFill="accent1" w:themeFillTint="33"/>
          </w:tcPr>
          <w:p w:rsidR="00487B71" w:rsidRDefault="00487B71" w:rsidP="00672C77">
            <w:pPr>
              <w:rPr>
                <w:rFonts w:ascii="Leelawadee UI" w:hAnsi="Leelawadee UI" w:cs="Leelawadee UI"/>
                <w:b/>
              </w:rPr>
            </w:pPr>
            <w:r>
              <w:rPr>
                <w:rFonts w:ascii="Leelawadee UI" w:hAnsi="Leelawadee UI" w:cs="Leelawadee UI"/>
                <w:b/>
              </w:rPr>
              <w:lastRenderedPageBreak/>
              <w:t>Points to Remember:</w:t>
            </w:r>
          </w:p>
          <w:p w:rsidR="00DF7700" w:rsidRDefault="008F7350" w:rsidP="00DF7700">
            <w:pPr>
              <w:pStyle w:val="Default"/>
              <w:numPr>
                <w:ilvl w:val="0"/>
                <w:numId w:val="27"/>
              </w:numPr>
              <w:rPr>
                <w:sz w:val="23"/>
                <w:szCs w:val="23"/>
              </w:rPr>
            </w:pPr>
            <w:r>
              <w:rPr>
                <w:sz w:val="23"/>
                <w:szCs w:val="23"/>
              </w:rPr>
              <w:t>A</w:t>
            </w:r>
            <w:r w:rsidRPr="008F7350">
              <w:rPr>
                <w:sz w:val="23"/>
                <w:szCs w:val="23"/>
              </w:rPr>
              <w:t xml:space="preserve">pplications should not be required to pre-register (or be approved in advance) with the provider or their Health IT Module developer before being allowed to access the API. </w:t>
            </w:r>
          </w:p>
          <w:p w:rsidR="00487B71" w:rsidRDefault="00DF7700" w:rsidP="008F7350">
            <w:pPr>
              <w:pStyle w:val="Default"/>
              <w:numPr>
                <w:ilvl w:val="0"/>
                <w:numId w:val="27"/>
              </w:numPr>
              <w:rPr>
                <w:sz w:val="23"/>
                <w:szCs w:val="23"/>
              </w:rPr>
            </w:pPr>
            <w:r w:rsidRPr="00DF7700">
              <w:rPr>
                <w:sz w:val="23"/>
                <w:szCs w:val="23"/>
              </w:rPr>
              <w:t>P&amp;S certification framework for the API criteria requires that a Health IT Module certified to this criterion be capable of ensuring that: valid user credentials such as a username and password are presented (that match the credentials on file at the provider for that user); the provider can authorize the user to view the patient’s data; the application connects through a trusted connec</w:t>
            </w:r>
            <w:r>
              <w:rPr>
                <w:sz w:val="23"/>
                <w:szCs w:val="23"/>
              </w:rPr>
              <w:t>tion; and the access is audited.</w:t>
            </w:r>
          </w:p>
          <w:p w:rsidR="00DC33BD" w:rsidRPr="00DF7700" w:rsidRDefault="00DC33BD" w:rsidP="008F7350">
            <w:pPr>
              <w:pStyle w:val="Default"/>
              <w:numPr>
                <w:ilvl w:val="0"/>
                <w:numId w:val="27"/>
              </w:numPr>
              <w:rPr>
                <w:sz w:val="23"/>
                <w:szCs w:val="23"/>
              </w:rPr>
            </w:pPr>
            <w:r>
              <w:t>Health IT Developer should maintain a copy of the API test client used during testing for auditing or surveillance activities.</w:t>
            </w:r>
          </w:p>
        </w:tc>
      </w:tr>
    </w:tbl>
    <w:p w:rsidR="00487B71" w:rsidRDefault="00487B71" w:rsidP="00487B71"/>
    <w:p w:rsidR="00487B71" w:rsidRDefault="00487B71" w:rsidP="00B26B2D">
      <w:pPr>
        <w:rPr>
          <w:rFonts w:ascii="Arial" w:hAnsi="Arial" w:cs="Arial"/>
          <w:b/>
          <w:sz w:val="26"/>
          <w:szCs w:val="26"/>
          <w:u w:val="single"/>
        </w:rPr>
      </w:pPr>
      <w:r>
        <w:rPr>
          <w:u w:val="single"/>
        </w:rPr>
        <w:br w:type="page"/>
      </w:r>
      <w:r w:rsidRPr="007A3989">
        <w:rPr>
          <w:rFonts w:ascii="Arial" w:hAnsi="Arial" w:cs="Arial"/>
          <w:b/>
          <w:sz w:val="26"/>
          <w:szCs w:val="26"/>
          <w:u w:val="single"/>
        </w:rPr>
        <w:lastRenderedPageBreak/>
        <w:t>Test Procedures</w:t>
      </w:r>
    </w:p>
    <w:p w:rsidR="00DC33BD" w:rsidRDefault="00DC33BD" w:rsidP="00B26B2D">
      <w:pPr>
        <w:rPr>
          <w:rFonts w:ascii="Arial" w:hAnsi="Arial" w:cs="Arial"/>
          <w:b/>
          <w:sz w:val="26"/>
          <w:szCs w:val="26"/>
          <w:u w:val="single"/>
        </w:rPr>
      </w:pPr>
    </w:p>
    <w:p w:rsidR="00DC33BD" w:rsidRPr="008C7CAF" w:rsidRDefault="00DC33BD" w:rsidP="00DC33BD">
      <w:pPr>
        <w:rPr>
          <w:b/>
        </w:rPr>
      </w:pPr>
      <w:r w:rsidRPr="008C7CAF">
        <w:rPr>
          <w:b/>
        </w:rPr>
        <w:t>1.1</w:t>
      </w:r>
      <w:r>
        <w:rPr>
          <w:b/>
        </w:rPr>
        <w:t xml:space="preserve"> Developer-Supplied Test Client</w:t>
      </w:r>
    </w:p>
    <w:tbl>
      <w:tblPr>
        <w:tblStyle w:val="TableGrid"/>
        <w:tblW w:w="0" w:type="auto"/>
        <w:tblLook w:val="04A0" w:firstRow="1" w:lastRow="0" w:firstColumn="1" w:lastColumn="0" w:noHBand="0" w:noVBand="1"/>
      </w:tblPr>
      <w:tblGrid>
        <w:gridCol w:w="828"/>
        <w:gridCol w:w="7668"/>
      </w:tblGrid>
      <w:tr w:rsidR="00DC33BD" w:rsidTr="00A6486C">
        <w:sdt>
          <w:sdtPr>
            <w:id w:val="679093999"/>
            <w14:checkbox>
              <w14:checked w14:val="0"/>
              <w14:checkedState w14:val="2612" w14:font="Malgun Gothic Semilight"/>
              <w14:uncheckedState w14:val="2610" w14:font="Malgun Gothic Semilight"/>
            </w14:checkbox>
          </w:sdtPr>
          <w:sdtEndPr/>
          <w:sdtContent>
            <w:tc>
              <w:tcPr>
                <w:tcW w:w="828" w:type="dxa"/>
              </w:tcPr>
              <w:p w:rsidR="00DC33BD" w:rsidRDefault="00DC33BD" w:rsidP="00A6486C">
                <w:pPr>
                  <w:spacing w:line="360" w:lineRule="auto"/>
                </w:pPr>
                <w:r>
                  <w:rPr>
                    <w:rFonts w:ascii="MS Gothic" w:eastAsia="MS Gothic" w:hAnsi="MS Gothic" w:hint="eastAsia"/>
                  </w:rPr>
                  <w:t>☐</w:t>
                </w:r>
              </w:p>
            </w:tc>
          </w:sdtContent>
        </w:sdt>
        <w:tc>
          <w:tcPr>
            <w:tcW w:w="7668" w:type="dxa"/>
          </w:tcPr>
          <w:p w:rsidR="00DC33BD" w:rsidRPr="00A32014" w:rsidRDefault="00DC33BD" w:rsidP="00A6486C">
            <w:r>
              <w:t>Using the developer-supplied API test client, Proctor will verify the following minimum requirements during the test event:</w:t>
            </w:r>
          </w:p>
          <w:p w:rsidR="00DC33BD" w:rsidRPr="00A32014" w:rsidRDefault="00DC33BD" w:rsidP="00DC33BD">
            <w:pPr>
              <w:pStyle w:val="ListParagraph"/>
              <w:numPr>
                <w:ilvl w:val="0"/>
                <w:numId w:val="48"/>
              </w:numPr>
            </w:pPr>
            <w:r>
              <w:t>Verify</w:t>
            </w:r>
            <w:r w:rsidRPr="00A32014">
              <w:t xml:space="preserve"> the API call being executed (including any messages being sent from the client to the API server) and the results returned from the API server to the API client in raw form (XML, JSON, or other computable format).  </w:t>
            </w:r>
          </w:p>
          <w:p w:rsidR="00DC33BD" w:rsidRPr="00A32014" w:rsidRDefault="00DC33BD" w:rsidP="00DC33BD">
            <w:pPr>
              <w:pStyle w:val="ListParagraph"/>
              <w:numPr>
                <w:ilvl w:val="0"/>
                <w:numId w:val="48"/>
              </w:numPr>
            </w:pPr>
            <w:r w:rsidRPr="00A32014">
              <w:t xml:space="preserve">Authenticate to the API server using a valid login or other security credential and demonstrate the ability to use a validated security token for the API session for subsequent API calls until the session expires or time out.  </w:t>
            </w:r>
          </w:p>
          <w:p w:rsidR="00DC33BD" w:rsidRPr="008C7CAF" w:rsidRDefault="00DC33BD" w:rsidP="00DC33BD">
            <w:pPr>
              <w:pStyle w:val="ListParagraph"/>
              <w:numPr>
                <w:ilvl w:val="0"/>
                <w:numId w:val="48"/>
              </w:numPr>
            </w:pPr>
            <w:r w:rsidRPr="00A32014">
              <w:t>Demonstrate the communication security layer being used between the API Client and the API Server.</w:t>
            </w:r>
          </w:p>
        </w:tc>
      </w:tr>
    </w:tbl>
    <w:p w:rsidR="00DC33BD" w:rsidRDefault="00DC33BD" w:rsidP="00DC33BD">
      <w:pPr>
        <w:rPr>
          <w:rFonts w:ascii="Arial" w:hAnsi="Arial" w:cs="Arial"/>
          <w:b/>
          <w:u w:val="single"/>
        </w:rPr>
      </w:pPr>
    </w:p>
    <w:p w:rsidR="00DC33BD" w:rsidRDefault="00DC33BD" w:rsidP="00DC33BD">
      <w:pPr>
        <w:spacing w:line="360" w:lineRule="auto"/>
        <w:rPr>
          <w:color w:val="A6A6A6" w:themeColor="background1" w:themeShade="A6"/>
        </w:rPr>
      </w:pPr>
      <w:r w:rsidRPr="008C7CAF">
        <w:rPr>
          <w:color w:val="A6A6A6" w:themeColor="background1" w:themeShade="A6"/>
        </w:rPr>
        <w:t>&lt;INSERT SCREEN SHOT</w:t>
      </w:r>
      <w:r>
        <w:rPr>
          <w:color w:val="A6A6A6" w:themeColor="background1" w:themeShade="A6"/>
        </w:rPr>
        <w:t>S</w:t>
      </w:r>
      <w:r w:rsidRPr="008C7CAF">
        <w:rPr>
          <w:color w:val="A6A6A6" w:themeColor="background1" w:themeShade="A6"/>
        </w:rPr>
        <w:t>&gt;</w:t>
      </w:r>
    </w:p>
    <w:p w:rsidR="00DC33BD" w:rsidRPr="007A3989" w:rsidRDefault="00DC33BD" w:rsidP="00B26B2D">
      <w:pPr>
        <w:rPr>
          <w:rFonts w:ascii="Arial" w:hAnsi="Arial" w:cs="Arial"/>
          <w:b/>
          <w:sz w:val="26"/>
          <w:szCs w:val="26"/>
          <w:u w:val="single"/>
        </w:rPr>
      </w:pPr>
    </w:p>
    <w:p w:rsidR="00C9468A" w:rsidRDefault="00DC33BD" w:rsidP="00C9468A">
      <w:pPr>
        <w:rPr>
          <w:color w:val="A6A6A6" w:themeColor="background1" w:themeShade="A6"/>
        </w:rPr>
      </w:pPr>
      <w:r>
        <w:rPr>
          <w:b/>
        </w:rPr>
        <w:t>1.2</w:t>
      </w:r>
      <w:r w:rsidR="00C9468A">
        <w:rPr>
          <w:b/>
        </w:rPr>
        <w:t xml:space="preserve"> Respond to Requests for Patient Data for All Data Categories</w:t>
      </w:r>
    </w:p>
    <w:tbl>
      <w:tblPr>
        <w:tblStyle w:val="TableGrid"/>
        <w:tblW w:w="0" w:type="auto"/>
        <w:tblLook w:val="04A0" w:firstRow="1" w:lastRow="0" w:firstColumn="1" w:lastColumn="0" w:noHBand="0" w:noVBand="1"/>
      </w:tblPr>
      <w:tblGrid>
        <w:gridCol w:w="828"/>
        <w:gridCol w:w="7668"/>
      </w:tblGrid>
      <w:tr w:rsidR="00C9468A" w:rsidRPr="00C15A82" w:rsidTr="00351700">
        <w:trPr>
          <w:trHeight w:val="2510"/>
        </w:trPr>
        <w:tc>
          <w:tcPr>
            <w:tcW w:w="828" w:type="dxa"/>
            <w:tcBorders>
              <w:right w:val="single" w:sz="4" w:space="0" w:color="auto"/>
            </w:tcBorders>
          </w:tcPr>
          <w:sdt>
            <w:sdtPr>
              <w:id w:val="-1132854834"/>
              <w14:checkbox>
                <w14:checked w14:val="0"/>
                <w14:checkedState w14:val="2612" w14:font="Arial"/>
                <w14:uncheckedState w14:val="2610" w14:font="Arial"/>
              </w14:checkbox>
            </w:sdtPr>
            <w:sdtEndPr/>
            <w:sdtContent>
              <w:p w:rsidR="00C9468A" w:rsidRDefault="00C9468A" w:rsidP="00351700">
                <w:pPr>
                  <w:spacing w:line="360" w:lineRule="auto"/>
                  <w:rPr>
                    <w:u w:val="single"/>
                  </w:rPr>
                </w:pPr>
                <w:r>
                  <w:rPr>
                    <w:rFonts w:ascii="Segoe UI Symbol" w:eastAsia="MS Gothic" w:hAnsi="Segoe UI Symbol" w:cs="Segoe UI Symbol"/>
                  </w:rPr>
                  <w:t>☐</w:t>
                </w:r>
              </w:p>
            </w:sdtContent>
          </w:sdt>
        </w:tc>
        <w:tc>
          <w:tcPr>
            <w:tcW w:w="7668" w:type="dxa"/>
            <w:tcBorders>
              <w:left w:val="single" w:sz="4" w:space="0" w:color="auto"/>
            </w:tcBorders>
            <w:vAlign w:val="center"/>
          </w:tcPr>
          <w:p w:rsidR="00C9468A" w:rsidRPr="00C15A82" w:rsidRDefault="00F41C32" w:rsidP="00351700">
            <w:pPr>
              <w:spacing w:line="360" w:lineRule="auto"/>
            </w:pPr>
            <w:r>
              <w:t>Using the test data provided in the ETT, user</w:t>
            </w:r>
            <w:r w:rsidR="00C9468A">
              <w:t xml:space="preserve"> demonstrates t</w:t>
            </w:r>
            <w:r w:rsidR="00C9468A" w:rsidRPr="00C9468A">
              <w:t>hat the API responds to and returns all data from the Common Clinical Data Set in a summary record formatted in accordance with the standard adopted at § 170.205(a</w:t>
            </w:r>
            <w:proofErr w:type="gramStart"/>
            <w:r w:rsidR="00C9468A" w:rsidRPr="00C9468A">
              <w:t>)(</w:t>
            </w:r>
            <w:proofErr w:type="gramEnd"/>
            <w:r w:rsidR="00C9468A" w:rsidRPr="00C9468A">
              <w:t>4)</w:t>
            </w:r>
            <w:r w:rsidR="00C9468A">
              <w:t xml:space="preserve">, </w:t>
            </w:r>
            <w:r w:rsidR="00C9468A" w:rsidRPr="00C9468A">
              <w:t>following the CCD document template and including the CCDS data requirements as specified in the CCDS Reference Document for the unique patient identified by the ID or token</w:t>
            </w:r>
            <w:r w:rsidR="006C3FC4">
              <w:t>.  User submits each CCD to Proctor for validation.</w:t>
            </w:r>
          </w:p>
        </w:tc>
      </w:tr>
      <w:tr w:rsidR="00163E5B" w:rsidRPr="00351700" w:rsidTr="003018ED">
        <w:trPr>
          <w:trHeight w:val="440"/>
        </w:trPr>
        <w:tc>
          <w:tcPr>
            <w:tcW w:w="828" w:type="dxa"/>
            <w:tcBorders>
              <w:bottom w:val="single" w:sz="4" w:space="0" w:color="auto"/>
              <w:right w:val="single" w:sz="4" w:space="0" w:color="auto"/>
            </w:tcBorders>
          </w:tcPr>
          <w:sdt>
            <w:sdtPr>
              <w:id w:val="49433644"/>
              <w14:checkbox>
                <w14:checked w14:val="0"/>
                <w14:checkedState w14:val="2612" w14:font="Arial"/>
                <w14:uncheckedState w14:val="2610" w14:font="Arial"/>
              </w14:checkbox>
            </w:sdtPr>
            <w:sdtEndPr/>
            <w:sdtContent>
              <w:p w:rsidR="00163E5B" w:rsidRDefault="00163E5B" w:rsidP="003018ED">
                <w:pPr>
                  <w:spacing w:line="360" w:lineRule="auto"/>
                </w:pPr>
                <w:r>
                  <w:rPr>
                    <w:rFonts w:ascii="Segoe UI Symbol" w:eastAsia="MS Gothic" w:hAnsi="Segoe UI Symbol" w:cs="Segoe UI Symbol"/>
                  </w:rPr>
                  <w:t>☐</w:t>
                </w:r>
              </w:p>
            </w:sdtContent>
          </w:sdt>
          <w:p w:rsidR="00163E5B" w:rsidRPr="00351700" w:rsidRDefault="00163E5B" w:rsidP="003018ED">
            <w:pPr>
              <w:spacing w:line="360" w:lineRule="auto"/>
              <w:rPr>
                <w:b/>
              </w:rPr>
            </w:pPr>
          </w:p>
        </w:tc>
        <w:tc>
          <w:tcPr>
            <w:tcW w:w="7668" w:type="dxa"/>
            <w:tcBorders>
              <w:left w:val="single" w:sz="4" w:space="0" w:color="auto"/>
              <w:bottom w:val="single" w:sz="4" w:space="0" w:color="auto"/>
            </w:tcBorders>
            <w:vAlign w:val="center"/>
          </w:tcPr>
          <w:p w:rsidR="00163E5B" w:rsidRDefault="00163E5B" w:rsidP="003018ED">
            <w:pPr>
              <w:spacing w:line="360" w:lineRule="auto"/>
            </w:pPr>
            <w:r>
              <w:t>Proctor performs the following validation:</w:t>
            </w:r>
          </w:p>
          <w:p w:rsidR="00163E5B" w:rsidRDefault="00163E5B" w:rsidP="003018ED">
            <w:pPr>
              <w:pStyle w:val="ListParagraph"/>
              <w:numPr>
                <w:ilvl w:val="0"/>
                <w:numId w:val="44"/>
              </w:numPr>
              <w:spacing w:line="360" w:lineRule="auto"/>
              <w:rPr>
                <w:rStyle w:val="Hyperlink"/>
                <w:color w:val="auto"/>
                <w:u w:val="none"/>
              </w:rPr>
            </w:pPr>
            <w:r>
              <w:t xml:space="preserve">Validate each CCD using </w:t>
            </w:r>
            <w:r w:rsidRPr="00C23957">
              <w:rPr>
                <w:rFonts w:ascii="Leelawadee UI" w:hAnsi="Leelawadee UI" w:cs="Leelawadee UI"/>
              </w:rPr>
              <w:t xml:space="preserve">ETT </w:t>
            </w:r>
            <w:hyperlink r:id="rId10" w:anchor="/validators" w:history="1">
              <w:r w:rsidRPr="00B924E2">
                <w:rPr>
                  <w:rStyle w:val="Hyperlink"/>
                </w:rPr>
                <w:t>C-CDA R2.1 Validator</w:t>
              </w:r>
            </w:hyperlink>
            <w:r w:rsidRPr="00C23957">
              <w:rPr>
                <w:rStyle w:val="Hyperlink"/>
                <w:color w:val="auto"/>
                <w:u w:val="none"/>
              </w:rPr>
              <w:t xml:space="preserve"> to verify the CCD document returned by the API is in a summary record formatted in accordance with the standard adopted at § 170.205(a)(4) using the CCD document template.</w:t>
            </w:r>
          </w:p>
          <w:p w:rsidR="00163E5B" w:rsidRDefault="00163E5B" w:rsidP="003018ED">
            <w:pPr>
              <w:pStyle w:val="ListParagraph"/>
              <w:numPr>
                <w:ilvl w:val="0"/>
                <w:numId w:val="44"/>
              </w:numPr>
              <w:spacing w:line="360" w:lineRule="auto"/>
            </w:pPr>
            <w:r>
              <w:lastRenderedPageBreak/>
              <w:t xml:space="preserve">Visually inspect each CCD to verify it contains all required CCDS data elements </w:t>
            </w:r>
            <w:r w:rsidRPr="00EE34A2">
              <w:rPr>
                <w:i/>
              </w:rPr>
              <w:t xml:space="preserve">(see </w:t>
            </w:r>
            <w:hyperlink w:anchor="_Appendix_C:_CCDS" w:history="1">
              <w:r w:rsidRPr="009A345B">
                <w:rPr>
                  <w:rStyle w:val="Hyperlink"/>
                  <w:i/>
                </w:rPr>
                <w:t>Appendix C</w:t>
              </w:r>
            </w:hyperlink>
            <w:r>
              <w:rPr>
                <w:i/>
              </w:rPr>
              <w:t xml:space="preserve">  for “</w:t>
            </w:r>
            <w:r w:rsidRPr="00EE34A2">
              <w:rPr>
                <w:i/>
              </w:rPr>
              <w:t>CCDS Reference Table</w:t>
            </w:r>
            <w:r>
              <w:rPr>
                <w:i/>
              </w:rPr>
              <w:t>”)</w:t>
            </w:r>
            <w:r>
              <w:t xml:space="preserve"> and </w:t>
            </w:r>
            <w:r w:rsidRPr="00C23957">
              <w:t>additional checks for equivalent text for the content of all section level narrative text</w:t>
            </w:r>
            <w:r>
              <w:t>.</w:t>
            </w:r>
          </w:p>
          <w:p w:rsidR="00163E5B" w:rsidRDefault="00163E5B" w:rsidP="003018ED">
            <w:pPr>
              <w:pStyle w:val="ListParagraph"/>
              <w:numPr>
                <w:ilvl w:val="0"/>
                <w:numId w:val="44"/>
              </w:numPr>
              <w:spacing w:line="360" w:lineRule="auto"/>
            </w:pPr>
            <w:r>
              <w:t xml:space="preserve">Verify </w:t>
            </w:r>
            <w:r w:rsidRPr="00C23957">
              <w:t>the API routine(s) can respond to a request for patient data for a specific date</w:t>
            </w:r>
            <w:r>
              <w:t xml:space="preserve"> and a specific date range</w:t>
            </w:r>
            <w:r w:rsidRPr="00C23957">
              <w:t>, and that the patient data returned is accurate and without omission based upon the health IT developer’s documenta</w:t>
            </w:r>
            <w:r>
              <w:t>tion for data return based upon:</w:t>
            </w:r>
          </w:p>
          <w:p w:rsidR="00163E5B" w:rsidRDefault="00163E5B" w:rsidP="003018ED">
            <w:pPr>
              <w:pStyle w:val="ListParagraph"/>
              <w:numPr>
                <w:ilvl w:val="0"/>
                <w:numId w:val="44"/>
              </w:numPr>
              <w:tabs>
                <w:tab w:val="left" w:pos="2029"/>
              </w:tabs>
              <w:spacing w:line="360" w:lineRule="auto"/>
              <w:ind w:firstLine="949"/>
            </w:pPr>
            <w:r>
              <w:t xml:space="preserve">a </w:t>
            </w:r>
            <w:r w:rsidRPr="00C23957">
              <w:t>date reques</w:t>
            </w:r>
            <w:r>
              <w:t>t; and</w:t>
            </w:r>
          </w:p>
          <w:p w:rsidR="00163E5B" w:rsidRPr="00351700" w:rsidRDefault="00163E5B" w:rsidP="003018ED">
            <w:pPr>
              <w:pStyle w:val="ListParagraph"/>
              <w:numPr>
                <w:ilvl w:val="0"/>
                <w:numId w:val="44"/>
              </w:numPr>
              <w:tabs>
                <w:tab w:val="left" w:pos="2014"/>
              </w:tabs>
              <w:spacing w:line="360" w:lineRule="auto"/>
              <w:ind w:left="1219" w:firstLine="450"/>
            </w:pPr>
            <w:r>
              <w:t>a date range request</w:t>
            </w:r>
          </w:p>
        </w:tc>
      </w:tr>
    </w:tbl>
    <w:p w:rsidR="00163E5B" w:rsidRPr="003D768F" w:rsidRDefault="00163E5B" w:rsidP="00163E5B">
      <w:pPr>
        <w:spacing w:line="360" w:lineRule="auto"/>
        <w:rPr>
          <w:color w:val="A6A6A6" w:themeColor="background1" w:themeShade="A6"/>
        </w:rPr>
      </w:pPr>
    </w:p>
    <w:p w:rsidR="00163E5B" w:rsidRDefault="00163E5B" w:rsidP="00163E5B">
      <w:pPr>
        <w:spacing w:line="360" w:lineRule="auto"/>
        <w:rPr>
          <w:color w:val="A6A6A6" w:themeColor="background1" w:themeShade="A6"/>
        </w:rPr>
      </w:pPr>
      <w:r>
        <w:rPr>
          <w:color w:val="A6A6A6" w:themeColor="background1" w:themeShade="A6"/>
        </w:rPr>
        <w:t>&lt;INSERT SCREEN SHOTS</w:t>
      </w:r>
      <w:r w:rsidRPr="003D768F">
        <w:rPr>
          <w:color w:val="A6A6A6" w:themeColor="background1" w:themeShade="A6"/>
        </w:rPr>
        <w:t>&gt;</w:t>
      </w:r>
    </w:p>
    <w:p w:rsidR="00163E5B" w:rsidRDefault="00163E5B" w:rsidP="00CD54E7">
      <w:pPr>
        <w:rPr>
          <w:color w:val="A6A6A6" w:themeColor="background1" w:themeShade="A6"/>
        </w:rPr>
      </w:pPr>
    </w:p>
    <w:p w:rsidR="00CD54E7" w:rsidRPr="00D611C7" w:rsidRDefault="00CD54E7" w:rsidP="00CD54E7">
      <w:pPr>
        <w:rPr>
          <w:color w:val="A6A6A6" w:themeColor="background1" w:themeShade="A6"/>
        </w:rPr>
      </w:pPr>
      <w:r>
        <w:rPr>
          <w:b/>
        </w:rPr>
        <w:t>1.3</w:t>
      </w:r>
      <w:r w:rsidRPr="00301CA4">
        <w:rPr>
          <w:b/>
        </w:rPr>
        <w:t xml:space="preserve"> </w:t>
      </w:r>
      <w:r>
        <w:rPr>
          <w:b/>
        </w:rPr>
        <w:t>API Documentation</w:t>
      </w:r>
    </w:p>
    <w:tbl>
      <w:tblPr>
        <w:tblStyle w:val="TableGrid"/>
        <w:tblW w:w="0" w:type="auto"/>
        <w:tblLook w:val="04A0" w:firstRow="1" w:lastRow="0" w:firstColumn="1" w:lastColumn="0" w:noHBand="0" w:noVBand="1"/>
      </w:tblPr>
      <w:tblGrid>
        <w:gridCol w:w="828"/>
        <w:gridCol w:w="7668"/>
      </w:tblGrid>
      <w:tr w:rsidR="00CD54E7" w:rsidRPr="008C7CAF" w:rsidTr="003018ED">
        <w:sdt>
          <w:sdtPr>
            <w:id w:val="1362246638"/>
            <w14:checkbox>
              <w14:checked w14:val="0"/>
              <w14:checkedState w14:val="2612" w14:font="Arial"/>
              <w14:uncheckedState w14:val="2610" w14:font="Arial"/>
            </w14:checkbox>
          </w:sdtPr>
          <w:sdtEndPr/>
          <w:sdtContent>
            <w:tc>
              <w:tcPr>
                <w:tcW w:w="828" w:type="dxa"/>
              </w:tcPr>
              <w:p w:rsidR="00CD54E7" w:rsidRDefault="00CD54E7" w:rsidP="003018ED">
                <w:pPr>
                  <w:spacing w:line="360" w:lineRule="auto"/>
                </w:pPr>
                <w:r>
                  <w:rPr>
                    <w:rFonts w:ascii="MS Gothic" w:eastAsia="MS Gothic" w:hAnsi="MS Gothic" w:hint="eastAsia"/>
                  </w:rPr>
                  <w:t>☐</w:t>
                </w:r>
              </w:p>
            </w:tc>
          </w:sdtContent>
        </w:sdt>
        <w:tc>
          <w:tcPr>
            <w:tcW w:w="7668" w:type="dxa"/>
          </w:tcPr>
          <w:p w:rsidR="00CD54E7" w:rsidRDefault="00CD54E7" w:rsidP="003018ED">
            <w:pPr>
              <w:spacing w:line="360" w:lineRule="auto"/>
            </w:pPr>
            <w:r>
              <w:t xml:space="preserve">Health IT developer provides documentation describing the API, with the intended audience of developers, and includes at a minimum:  </w:t>
            </w:r>
          </w:p>
          <w:p w:rsidR="00CD54E7" w:rsidRDefault="00CD54E7" w:rsidP="003018ED">
            <w:pPr>
              <w:pStyle w:val="ListParagraph"/>
              <w:numPr>
                <w:ilvl w:val="0"/>
                <w:numId w:val="41"/>
              </w:numPr>
              <w:spacing w:line="360" w:lineRule="auto"/>
            </w:pPr>
            <w:r>
              <w:t xml:space="preserve">API syntax; </w:t>
            </w:r>
          </w:p>
          <w:p w:rsidR="00CD54E7" w:rsidRDefault="00CD54E7" w:rsidP="003018ED">
            <w:pPr>
              <w:pStyle w:val="ListParagraph"/>
              <w:numPr>
                <w:ilvl w:val="0"/>
                <w:numId w:val="41"/>
              </w:numPr>
              <w:spacing w:line="360" w:lineRule="auto"/>
            </w:pPr>
            <w:r>
              <w:t>function names;</w:t>
            </w:r>
          </w:p>
          <w:p w:rsidR="00CD54E7" w:rsidRDefault="00CD54E7" w:rsidP="003018ED">
            <w:pPr>
              <w:pStyle w:val="ListParagraph"/>
              <w:numPr>
                <w:ilvl w:val="0"/>
                <w:numId w:val="41"/>
              </w:numPr>
              <w:spacing w:line="360" w:lineRule="auto"/>
            </w:pPr>
            <w:r>
              <w:t>required and optional parameters and their data types;</w:t>
            </w:r>
          </w:p>
          <w:p w:rsidR="00CD54E7" w:rsidRDefault="00CD54E7" w:rsidP="003018ED">
            <w:pPr>
              <w:pStyle w:val="ListParagraph"/>
              <w:numPr>
                <w:ilvl w:val="0"/>
                <w:numId w:val="41"/>
              </w:numPr>
              <w:spacing w:line="360" w:lineRule="auto"/>
            </w:pPr>
            <w:r>
              <w:t>return variables and their types/structures; and</w:t>
            </w:r>
          </w:p>
          <w:p w:rsidR="00CD54E7" w:rsidRDefault="00CD54E7" w:rsidP="003018ED">
            <w:pPr>
              <w:pStyle w:val="ListParagraph"/>
              <w:numPr>
                <w:ilvl w:val="0"/>
                <w:numId w:val="41"/>
              </w:numPr>
              <w:spacing w:line="360" w:lineRule="auto"/>
            </w:pPr>
            <w:r>
              <w:t>exceptions and exception handling methods and their returns</w:t>
            </w:r>
          </w:p>
          <w:p w:rsidR="00CD54E7" w:rsidRPr="008C7CAF" w:rsidRDefault="00CD54E7" w:rsidP="003018ED">
            <w:pPr>
              <w:pStyle w:val="ListParagraph"/>
              <w:numPr>
                <w:ilvl w:val="0"/>
                <w:numId w:val="41"/>
              </w:numPr>
              <w:spacing w:line="360" w:lineRule="auto"/>
            </w:pPr>
            <w:r>
              <w:t xml:space="preserve">API implementation requirements including the </w:t>
            </w:r>
            <w:r w:rsidRPr="00E03BBD">
              <w:t>software components and configurations that would be necessary for an application to implement in order to be able to successfully interact with the API and process its response(s).</w:t>
            </w:r>
          </w:p>
        </w:tc>
      </w:tr>
    </w:tbl>
    <w:p w:rsidR="00CD54E7" w:rsidRPr="00CD54E7" w:rsidRDefault="00CD54E7" w:rsidP="00CD54E7">
      <w:pPr>
        <w:spacing w:line="360" w:lineRule="auto"/>
        <w:ind w:left="6480" w:firstLine="720"/>
        <w:jc w:val="center"/>
        <w:rPr>
          <w:i/>
        </w:rPr>
      </w:pPr>
      <w:r w:rsidRPr="00CD54E7">
        <w:rPr>
          <w:i/>
        </w:rPr>
        <w:t>(</w:t>
      </w:r>
      <w:r w:rsidR="00163E5B" w:rsidRPr="00CD54E7">
        <w:rPr>
          <w:i/>
        </w:rPr>
        <w:t>Continued</w:t>
      </w:r>
      <w:r w:rsidRPr="00CD54E7">
        <w:rPr>
          <w:i/>
        </w:rPr>
        <w:t>)</w:t>
      </w:r>
    </w:p>
    <w:p w:rsidR="00CD54E7" w:rsidRDefault="00CD54E7" w:rsidP="002B18E0">
      <w:pPr>
        <w:spacing w:line="360" w:lineRule="auto"/>
        <w:rPr>
          <w:color w:val="A6A6A6" w:themeColor="background1" w:themeShade="A6"/>
        </w:rPr>
      </w:pPr>
    </w:p>
    <w:tbl>
      <w:tblPr>
        <w:tblStyle w:val="TableGrid"/>
        <w:tblW w:w="0" w:type="auto"/>
        <w:tblLook w:val="04A0" w:firstRow="1" w:lastRow="0" w:firstColumn="1" w:lastColumn="0" w:noHBand="0" w:noVBand="1"/>
      </w:tblPr>
      <w:tblGrid>
        <w:gridCol w:w="828"/>
        <w:gridCol w:w="7668"/>
      </w:tblGrid>
      <w:tr w:rsidR="00C9468A" w:rsidRPr="008C7CAF" w:rsidTr="00351700">
        <w:trPr>
          <w:trHeight w:val="278"/>
        </w:trPr>
        <w:bookmarkStart w:id="7" w:name="_Toc432066410" w:displacedByCustomXml="next"/>
        <w:sdt>
          <w:sdtPr>
            <w:id w:val="-1304222944"/>
            <w14:checkbox>
              <w14:checked w14:val="0"/>
              <w14:checkedState w14:val="2612" w14:font="Arial"/>
              <w14:uncheckedState w14:val="2610" w14:font="Arial"/>
            </w14:checkbox>
          </w:sdtPr>
          <w:sdtEndPr/>
          <w:sdtContent>
            <w:tc>
              <w:tcPr>
                <w:tcW w:w="828" w:type="dxa"/>
              </w:tcPr>
              <w:p w:rsidR="00C9468A" w:rsidRDefault="00C9468A" w:rsidP="00351700">
                <w:pPr>
                  <w:spacing w:line="360" w:lineRule="auto"/>
                </w:pPr>
                <w:r>
                  <w:rPr>
                    <w:rFonts w:ascii="MS Gothic" w:eastAsia="MS Gothic" w:hAnsi="MS Gothic" w:hint="eastAsia"/>
                  </w:rPr>
                  <w:t>☐</w:t>
                </w:r>
              </w:p>
            </w:tc>
          </w:sdtContent>
        </w:sdt>
        <w:tc>
          <w:tcPr>
            <w:tcW w:w="7668" w:type="dxa"/>
          </w:tcPr>
          <w:p w:rsidR="00C9468A" w:rsidRDefault="00C9468A" w:rsidP="00351700">
            <w:pPr>
              <w:spacing w:line="360" w:lineRule="auto"/>
            </w:pPr>
            <w:r>
              <w:t>H</w:t>
            </w:r>
            <w:r w:rsidRPr="00E03BBD">
              <w:t>ealth IT developer supplies the API’s Terms of Use, which needs to include, at a minimum, any associated developer policies and required developer agreements.</w:t>
            </w:r>
          </w:p>
        </w:tc>
      </w:tr>
      <w:tr w:rsidR="00C9468A" w:rsidRPr="008C7CAF" w:rsidTr="00351700">
        <w:trPr>
          <w:trHeight w:val="278"/>
        </w:trPr>
        <w:sdt>
          <w:sdtPr>
            <w:id w:val="1364709585"/>
            <w14:checkbox>
              <w14:checked w14:val="0"/>
              <w14:checkedState w14:val="2612" w14:font="Arial"/>
              <w14:uncheckedState w14:val="2610" w14:font="Arial"/>
            </w14:checkbox>
          </w:sdtPr>
          <w:sdtEndPr/>
          <w:sdtContent>
            <w:tc>
              <w:tcPr>
                <w:tcW w:w="828" w:type="dxa"/>
              </w:tcPr>
              <w:p w:rsidR="00C9468A" w:rsidRDefault="00C9468A" w:rsidP="00351700">
                <w:pPr>
                  <w:spacing w:line="360" w:lineRule="auto"/>
                </w:pPr>
                <w:r>
                  <w:rPr>
                    <w:rFonts w:ascii="MS Gothic" w:eastAsia="MS Gothic" w:hAnsi="MS Gothic" w:hint="eastAsia"/>
                  </w:rPr>
                  <w:t>☐</w:t>
                </w:r>
              </w:p>
            </w:tc>
          </w:sdtContent>
        </w:sdt>
        <w:tc>
          <w:tcPr>
            <w:tcW w:w="7668" w:type="dxa"/>
          </w:tcPr>
          <w:p w:rsidR="00C9468A" w:rsidRDefault="00C9468A" w:rsidP="00351700">
            <w:pPr>
              <w:spacing w:line="360" w:lineRule="auto"/>
            </w:pPr>
            <w:r>
              <w:t>Documentation supplied for this section must be available via a publicly accessible hyperlink.</w:t>
            </w:r>
          </w:p>
        </w:tc>
      </w:tr>
      <w:tr w:rsidR="00C9468A" w:rsidRPr="008C7CAF" w:rsidTr="00351700">
        <w:trPr>
          <w:trHeight w:val="278"/>
        </w:trPr>
        <w:sdt>
          <w:sdtPr>
            <w:id w:val="172224041"/>
            <w14:checkbox>
              <w14:checked w14:val="0"/>
              <w14:checkedState w14:val="2612" w14:font="Arial"/>
              <w14:uncheckedState w14:val="2610" w14:font="Arial"/>
            </w14:checkbox>
          </w:sdtPr>
          <w:sdtEndPr/>
          <w:sdtContent>
            <w:tc>
              <w:tcPr>
                <w:tcW w:w="828" w:type="dxa"/>
              </w:tcPr>
              <w:p w:rsidR="00C9468A" w:rsidRDefault="00C9468A" w:rsidP="00351700">
                <w:pPr>
                  <w:spacing w:line="360" w:lineRule="auto"/>
                </w:pPr>
                <w:r>
                  <w:rPr>
                    <w:rFonts w:ascii="MS Gothic" w:eastAsia="MS Gothic" w:hAnsi="MS Gothic" w:hint="eastAsia"/>
                  </w:rPr>
                  <w:t>☐</w:t>
                </w:r>
              </w:p>
            </w:tc>
          </w:sdtContent>
        </w:sdt>
        <w:tc>
          <w:tcPr>
            <w:tcW w:w="7668" w:type="dxa"/>
          </w:tcPr>
          <w:p w:rsidR="00C9468A" w:rsidRDefault="00C9468A" w:rsidP="00351700">
            <w:pPr>
              <w:spacing w:line="360" w:lineRule="auto"/>
            </w:pPr>
            <w:r>
              <w:t>Proctor reviews submitted documentation and verifies:</w:t>
            </w:r>
          </w:p>
          <w:p w:rsidR="00C9468A" w:rsidRDefault="00C9468A" w:rsidP="00C9468A">
            <w:pPr>
              <w:pStyle w:val="ListParagraph"/>
              <w:numPr>
                <w:ilvl w:val="0"/>
                <w:numId w:val="43"/>
              </w:numPr>
              <w:spacing w:line="360" w:lineRule="auto"/>
            </w:pPr>
            <w:r>
              <w:t>Health IT module’s API definition is accurate and without omission and that it matches the version of the software release;</w:t>
            </w:r>
          </w:p>
          <w:p w:rsidR="00C9468A" w:rsidRDefault="00C9468A" w:rsidP="00C9468A">
            <w:pPr>
              <w:pStyle w:val="ListParagraph"/>
              <w:numPr>
                <w:ilvl w:val="0"/>
                <w:numId w:val="43"/>
              </w:numPr>
              <w:spacing w:line="360" w:lineRule="auto"/>
            </w:pPr>
            <w:r w:rsidRPr="00D611C7">
              <w:t>Health IT Module’s API</w:t>
            </w:r>
            <w:r>
              <w:t xml:space="preserve"> interface requirements</w:t>
            </w:r>
            <w:r w:rsidRPr="00D611C7">
              <w:t xml:space="preserve"> (including both the software components and the configuration) is accurate and without omission and that it matches the version of the software release</w:t>
            </w:r>
            <w:r>
              <w:t xml:space="preserve">; </w:t>
            </w:r>
          </w:p>
          <w:p w:rsidR="00C9468A" w:rsidRDefault="00C9468A" w:rsidP="00C9468A">
            <w:pPr>
              <w:pStyle w:val="ListParagraph"/>
              <w:numPr>
                <w:ilvl w:val="0"/>
                <w:numId w:val="43"/>
              </w:numPr>
              <w:spacing w:line="360" w:lineRule="auto"/>
            </w:pPr>
            <w:r>
              <w:t>The supplied documentation contains Terms of Use and that it matches the version of the software release; and</w:t>
            </w:r>
          </w:p>
          <w:p w:rsidR="00C9468A" w:rsidRDefault="00C9468A" w:rsidP="00C9468A">
            <w:pPr>
              <w:pStyle w:val="ListParagraph"/>
              <w:numPr>
                <w:ilvl w:val="0"/>
                <w:numId w:val="43"/>
              </w:numPr>
              <w:spacing w:line="360" w:lineRule="auto"/>
            </w:pPr>
            <w:r>
              <w:t>The supplied documentation is publicly accessible by hyperlink.</w:t>
            </w:r>
          </w:p>
        </w:tc>
      </w:tr>
    </w:tbl>
    <w:p w:rsidR="00CD54E7" w:rsidRDefault="00CD54E7" w:rsidP="00C9468A">
      <w:pPr>
        <w:spacing w:line="360" w:lineRule="auto"/>
        <w:rPr>
          <w:color w:val="A6A6A6" w:themeColor="background1" w:themeShade="A6"/>
        </w:rPr>
      </w:pPr>
    </w:p>
    <w:p w:rsidR="00C9468A" w:rsidRDefault="00C9468A" w:rsidP="00C9468A">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LINK TO API DOCUMENTATION and PUBLIC URL</w:t>
      </w:r>
      <w:r w:rsidRPr="003D768F">
        <w:rPr>
          <w:color w:val="A6A6A6" w:themeColor="background1" w:themeShade="A6"/>
        </w:rPr>
        <w:t>&gt;</w:t>
      </w:r>
    </w:p>
    <w:p w:rsidR="00CD54E7" w:rsidRDefault="00CD54E7">
      <w:pPr>
        <w:rPr>
          <w:rFonts w:ascii="Arial" w:hAnsi="Arial" w:cs="Arial"/>
          <w:b/>
          <w:bCs/>
          <w:kern w:val="32"/>
          <w:sz w:val="32"/>
          <w:szCs w:val="32"/>
        </w:rPr>
      </w:pPr>
      <w:bookmarkStart w:id="8" w:name="_Appendix_A:_Testing"/>
      <w:bookmarkEnd w:id="8"/>
      <w:r>
        <w:br w:type="page"/>
      </w:r>
    </w:p>
    <w:p w:rsidR="00362E3C" w:rsidRDefault="00362E3C" w:rsidP="00362E3C">
      <w:pPr>
        <w:pStyle w:val="Heading1"/>
      </w:pPr>
      <w:r>
        <w:lastRenderedPageBreak/>
        <w:t>Appendix A: Testing Guide</w:t>
      </w:r>
      <w:bookmarkEnd w:id="7"/>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031C7D" w:rsidRPr="00031C7D" w:rsidRDefault="00031C7D" w:rsidP="00362E3C">
      <w:r>
        <w:t>Rev 01-</w:t>
      </w:r>
      <w:r w:rsidR="00470883">
        <w:t>Mar</w:t>
      </w:r>
      <w:r w:rsidR="00956B15">
        <w:t>-2016</w:t>
      </w:r>
      <w:r>
        <w:t xml:space="preserve"> Additions</w:t>
      </w:r>
    </w:p>
    <w:p w:rsidR="00A3038C" w:rsidRDefault="00927104" w:rsidP="00A3038C">
      <w:pPr>
        <w:numPr>
          <w:ilvl w:val="0"/>
          <w:numId w:val="31"/>
        </w:numPr>
      </w:pPr>
      <w:r>
        <w:t>&lt;NONE&gt;</w:t>
      </w:r>
    </w:p>
    <w:p w:rsidR="00362E3C" w:rsidRDefault="00362E3C" w:rsidP="00362E3C"/>
    <w:p w:rsidR="00927104" w:rsidRDefault="00927104">
      <w:pPr>
        <w:rPr>
          <w:rFonts w:ascii="Arial" w:hAnsi="Arial" w:cs="Arial"/>
          <w:b/>
          <w:bCs/>
          <w:kern w:val="32"/>
          <w:sz w:val="32"/>
          <w:szCs w:val="32"/>
        </w:rPr>
      </w:pPr>
      <w:bookmarkStart w:id="9" w:name="_Toc432066411"/>
      <w:r>
        <w:br w:type="page"/>
      </w:r>
    </w:p>
    <w:p w:rsidR="00362E3C" w:rsidRDefault="00362E3C" w:rsidP="00362E3C">
      <w:pPr>
        <w:pStyle w:val="Heading1"/>
      </w:pPr>
      <w:bookmarkStart w:id="10" w:name="_Appendix_B:_ONC"/>
      <w:bookmarkEnd w:id="10"/>
      <w:r>
        <w:lastRenderedPageBreak/>
        <w:t>Appendix B: ONC Criteria and Standards</w:t>
      </w:r>
      <w:bookmarkEnd w:id="9"/>
    </w:p>
    <w:p w:rsidR="007F742F" w:rsidRDefault="007F742F" w:rsidP="007F742F">
      <w:pPr>
        <w:autoSpaceDE w:val="0"/>
        <w:autoSpaceDN w:val="0"/>
        <w:adjustRightInd w:val="0"/>
        <w:rPr>
          <w:i/>
          <w:iCs/>
          <w:color w:val="000000"/>
        </w:rPr>
      </w:pPr>
      <w:r>
        <w:rPr>
          <w:i/>
          <w:iCs/>
          <w:color w:val="000000"/>
        </w:rPr>
        <w:t>This appendix contains copy of the relevant 2015 Edition Final Rule ONC criteria and</w:t>
      </w:r>
    </w:p>
    <w:p w:rsidR="007F742F" w:rsidRDefault="007F742F" w:rsidP="007F742F">
      <w:pPr>
        <w:autoSpaceDE w:val="0"/>
        <w:autoSpaceDN w:val="0"/>
        <w:adjustRightInd w:val="0"/>
        <w:rPr>
          <w:i/>
          <w:iCs/>
          <w:color w:val="000000"/>
        </w:rPr>
      </w:pPr>
      <w:proofErr w:type="gramStart"/>
      <w:r>
        <w:rPr>
          <w:i/>
          <w:iCs/>
          <w:color w:val="000000"/>
        </w:rPr>
        <w:t>standards</w:t>
      </w:r>
      <w:proofErr w:type="gramEnd"/>
      <w:r>
        <w:rPr>
          <w:i/>
          <w:iCs/>
          <w:color w:val="000000"/>
        </w:rPr>
        <w:t xml:space="preserve"> as a reference. In the event of a discrepancy, the ONC final rule takes</w:t>
      </w:r>
    </w:p>
    <w:p w:rsidR="007F742F" w:rsidRDefault="007F742F" w:rsidP="007F742F">
      <w:pPr>
        <w:autoSpaceDE w:val="0"/>
        <w:autoSpaceDN w:val="0"/>
        <w:adjustRightInd w:val="0"/>
        <w:rPr>
          <w:i/>
          <w:iCs/>
          <w:color w:val="000000"/>
        </w:rPr>
      </w:pPr>
      <w:proofErr w:type="gramStart"/>
      <w:r>
        <w:rPr>
          <w:i/>
          <w:iCs/>
          <w:color w:val="000000"/>
        </w:rPr>
        <w:t>precedence</w:t>
      </w:r>
      <w:proofErr w:type="gramEnd"/>
      <w:r>
        <w:rPr>
          <w:i/>
          <w:iCs/>
          <w:color w:val="000000"/>
        </w:rPr>
        <w:t>. The link to the final rule is found here:</w:t>
      </w:r>
    </w:p>
    <w:p w:rsidR="007F742F" w:rsidRDefault="007F742F" w:rsidP="007F742F">
      <w:pPr>
        <w:autoSpaceDE w:val="0"/>
        <w:autoSpaceDN w:val="0"/>
        <w:adjustRightInd w:val="0"/>
        <w:rPr>
          <w:i/>
          <w:iCs/>
          <w:color w:val="0000FF"/>
        </w:rPr>
      </w:pPr>
      <w:r>
        <w:rPr>
          <w:i/>
          <w:iCs/>
          <w:color w:val="0000FF"/>
        </w:rPr>
        <w:t>https://www.federalregister.gov/articles/2015/10/16/2015-25597/2015-edition-healthinformation-technology-health-it-certification-criteria-2015-edition-base</w:t>
      </w:r>
    </w:p>
    <w:p w:rsidR="007F742F" w:rsidRDefault="007F742F" w:rsidP="007F742F">
      <w:pPr>
        <w:autoSpaceDE w:val="0"/>
        <w:autoSpaceDN w:val="0"/>
        <w:adjustRightInd w:val="0"/>
        <w:rPr>
          <w:b/>
          <w:bCs/>
          <w:color w:val="000000"/>
        </w:rPr>
      </w:pPr>
    </w:p>
    <w:p w:rsidR="007F742F" w:rsidRDefault="007F742F" w:rsidP="007F742F">
      <w:pPr>
        <w:autoSpaceDE w:val="0"/>
        <w:autoSpaceDN w:val="0"/>
        <w:adjustRightInd w:val="0"/>
        <w:rPr>
          <w:b/>
          <w:bCs/>
          <w:color w:val="000000"/>
        </w:rPr>
      </w:pPr>
      <w:r>
        <w:rPr>
          <w:b/>
          <w:bCs/>
          <w:color w:val="000000"/>
        </w:rPr>
        <w:t>§170.315(g</w:t>
      </w:r>
      <w:proofErr w:type="gramStart"/>
      <w:r>
        <w:rPr>
          <w:b/>
          <w:bCs/>
          <w:color w:val="000000"/>
        </w:rPr>
        <w:t>)(</w:t>
      </w:r>
      <w:proofErr w:type="gramEnd"/>
      <w:r>
        <w:rPr>
          <w:b/>
          <w:bCs/>
          <w:color w:val="000000"/>
        </w:rPr>
        <w:t>9) Application Access – All Data Request</w:t>
      </w:r>
    </w:p>
    <w:p w:rsidR="007F742F" w:rsidRDefault="007F742F" w:rsidP="007F742F">
      <w:pPr>
        <w:autoSpaceDE w:val="0"/>
        <w:autoSpaceDN w:val="0"/>
        <w:adjustRightInd w:val="0"/>
        <w:rPr>
          <w:color w:val="000000"/>
        </w:rPr>
      </w:pPr>
      <w:r>
        <w:rPr>
          <w:color w:val="000000"/>
        </w:rPr>
        <w:t>The following technical outcomes and conditions must be met through the demonstration</w:t>
      </w:r>
    </w:p>
    <w:p w:rsidR="007F742F" w:rsidRDefault="007F742F" w:rsidP="007F742F">
      <w:pPr>
        <w:autoSpaceDE w:val="0"/>
        <w:autoSpaceDN w:val="0"/>
        <w:adjustRightInd w:val="0"/>
        <w:rPr>
          <w:color w:val="000000"/>
        </w:rPr>
      </w:pPr>
      <w:proofErr w:type="gramStart"/>
      <w:r>
        <w:rPr>
          <w:color w:val="000000"/>
        </w:rPr>
        <w:t>of</w:t>
      </w:r>
      <w:proofErr w:type="gramEnd"/>
      <w:r>
        <w:rPr>
          <w:color w:val="000000"/>
        </w:rPr>
        <w:t xml:space="preserve"> an application programming interface (API).</w:t>
      </w:r>
    </w:p>
    <w:p w:rsidR="007F742F" w:rsidRDefault="007F742F" w:rsidP="007F742F">
      <w:pPr>
        <w:autoSpaceDE w:val="0"/>
        <w:autoSpaceDN w:val="0"/>
        <w:adjustRightInd w:val="0"/>
        <w:rPr>
          <w:i/>
          <w:iCs/>
          <w:color w:val="000000"/>
        </w:rPr>
      </w:pPr>
      <w:r>
        <w:rPr>
          <w:color w:val="000000"/>
        </w:rPr>
        <w:t>(</w:t>
      </w:r>
      <w:proofErr w:type="spellStart"/>
      <w:r>
        <w:rPr>
          <w:color w:val="000000"/>
        </w:rPr>
        <w:t>i</w:t>
      </w:r>
      <w:proofErr w:type="spellEnd"/>
      <w:r>
        <w:rPr>
          <w:color w:val="000000"/>
        </w:rPr>
        <w:t>) Functional requirements</w:t>
      </w:r>
      <w:r>
        <w:rPr>
          <w:i/>
          <w:iCs/>
          <w:color w:val="000000"/>
        </w:rPr>
        <w:t>.</w:t>
      </w:r>
    </w:p>
    <w:p w:rsidR="007F742F" w:rsidRDefault="007F742F" w:rsidP="007F742F">
      <w:pPr>
        <w:autoSpaceDE w:val="0"/>
        <w:autoSpaceDN w:val="0"/>
        <w:adjustRightInd w:val="0"/>
        <w:rPr>
          <w:color w:val="000000"/>
        </w:rPr>
      </w:pPr>
      <w:r>
        <w:rPr>
          <w:color w:val="000000"/>
        </w:rPr>
        <w:t>(A) Respond to requests for patient data (based on an ID or other token) for</w:t>
      </w:r>
    </w:p>
    <w:p w:rsidR="007F742F" w:rsidRDefault="007F742F" w:rsidP="007F742F">
      <w:pPr>
        <w:autoSpaceDE w:val="0"/>
        <w:autoSpaceDN w:val="0"/>
        <w:adjustRightInd w:val="0"/>
        <w:rPr>
          <w:color w:val="000000"/>
        </w:rPr>
      </w:pPr>
      <w:proofErr w:type="gramStart"/>
      <w:r>
        <w:rPr>
          <w:color w:val="000000"/>
        </w:rPr>
        <w:t>all</w:t>
      </w:r>
      <w:proofErr w:type="gramEnd"/>
      <w:r>
        <w:rPr>
          <w:color w:val="000000"/>
        </w:rPr>
        <w:t xml:space="preserve"> of the data categories specified in the Common Clinical Data Set at</w:t>
      </w:r>
    </w:p>
    <w:p w:rsidR="007F742F" w:rsidRDefault="007F742F" w:rsidP="007F742F">
      <w:pPr>
        <w:autoSpaceDE w:val="0"/>
        <w:autoSpaceDN w:val="0"/>
        <w:adjustRightInd w:val="0"/>
        <w:rPr>
          <w:color w:val="000000"/>
        </w:rPr>
      </w:pPr>
      <w:proofErr w:type="gramStart"/>
      <w:r>
        <w:rPr>
          <w:color w:val="000000"/>
        </w:rPr>
        <w:t>one</w:t>
      </w:r>
      <w:proofErr w:type="gramEnd"/>
      <w:r>
        <w:rPr>
          <w:color w:val="000000"/>
        </w:rPr>
        <w:t xml:space="preserve"> time and return such data (according to the specified standards,</w:t>
      </w:r>
    </w:p>
    <w:p w:rsidR="007F742F" w:rsidRDefault="007F742F" w:rsidP="007F742F">
      <w:pPr>
        <w:autoSpaceDE w:val="0"/>
        <w:autoSpaceDN w:val="0"/>
        <w:adjustRightInd w:val="0"/>
        <w:rPr>
          <w:color w:val="000000"/>
        </w:rPr>
      </w:pPr>
      <w:proofErr w:type="gramStart"/>
      <w:r>
        <w:rPr>
          <w:color w:val="000000"/>
        </w:rPr>
        <w:t>where</w:t>
      </w:r>
      <w:proofErr w:type="gramEnd"/>
      <w:r>
        <w:rPr>
          <w:color w:val="000000"/>
        </w:rPr>
        <w:t xml:space="preserve"> applicable) in a summary record formatted according to the</w:t>
      </w:r>
    </w:p>
    <w:p w:rsidR="007F742F" w:rsidRDefault="007F742F" w:rsidP="007F742F">
      <w:pPr>
        <w:autoSpaceDE w:val="0"/>
        <w:autoSpaceDN w:val="0"/>
        <w:adjustRightInd w:val="0"/>
        <w:rPr>
          <w:color w:val="000000"/>
        </w:rPr>
      </w:pPr>
      <w:proofErr w:type="gramStart"/>
      <w:r>
        <w:rPr>
          <w:color w:val="000000"/>
        </w:rPr>
        <w:t>standard</w:t>
      </w:r>
      <w:proofErr w:type="gramEnd"/>
      <w:r>
        <w:rPr>
          <w:color w:val="000000"/>
        </w:rPr>
        <w:t xml:space="preserve"> specified in §170.205(a)(4) following the CCD document</w:t>
      </w:r>
    </w:p>
    <w:p w:rsidR="007F742F" w:rsidRDefault="007F742F" w:rsidP="007F742F">
      <w:pPr>
        <w:autoSpaceDE w:val="0"/>
        <w:autoSpaceDN w:val="0"/>
        <w:adjustRightInd w:val="0"/>
        <w:rPr>
          <w:color w:val="000000"/>
        </w:rPr>
      </w:pPr>
      <w:proofErr w:type="gramStart"/>
      <w:r>
        <w:rPr>
          <w:color w:val="000000"/>
        </w:rPr>
        <w:t>template</w:t>
      </w:r>
      <w:proofErr w:type="gramEnd"/>
      <w:r>
        <w:rPr>
          <w:color w:val="000000"/>
        </w:rPr>
        <w:t>.</w:t>
      </w:r>
    </w:p>
    <w:p w:rsidR="007F742F" w:rsidRDefault="007F742F" w:rsidP="007F742F">
      <w:pPr>
        <w:autoSpaceDE w:val="0"/>
        <w:autoSpaceDN w:val="0"/>
        <w:adjustRightInd w:val="0"/>
        <w:rPr>
          <w:color w:val="000000"/>
        </w:rPr>
      </w:pPr>
      <w:r>
        <w:rPr>
          <w:color w:val="000000"/>
        </w:rPr>
        <w:t>(B) Respond to requests for patient data associated with a specific date as</w:t>
      </w:r>
    </w:p>
    <w:p w:rsidR="007F742F" w:rsidRDefault="007F742F" w:rsidP="007F742F">
      <w:pPr>
        <w:autoSpaceDE w:val="0"/>
        <w:autoSpaceDN w:val="0"/>
        <w:adjustRightInd w:val="0"/>
        <w:rPr>
          <w:color w:val="000000"/>
        </w:rPr>
      </w:pPr>
      <w:proofErr w:type="gramStart"/>
      <w:r>
        <w:rPr>
          <w:color w:val="000000"/>
        </w:rPr>
        <w:t>well</w:t>
      </w:r>
      <w:proofErr w:type="gramEnd"/>
      <w:r>
        <w:rPr>
          <w:color w:val="000000"/>
        </w:rPr>
        <w:t xml:space="preserve"> as requests for patient data within a specified date range.</w:t>
      </w:r>
    </w:p>
    <w:p w:rsidR="007F742F" w:rsidRDefault="007F742F" w:rsidP="007F742F">
      <w:pPr>
        <w:autoSpaceDE w:val="0"/>
        <w:autoSpaceDN w:val="0"/>
        <w:adjustRightInd w:val="0"/>
        <w:rPr>
          <w:i/>
          <w:iCs/>
          <w:color w:val="000000"/>
        </w:rPr>
      </w:pPr>
      <w:r>
        <w:rPr>
          <w:color w:val="000000"/>
        </w:rPr>
        <w:t>(ii) Documentation</w:t>
      </w:r>
      <w:r>
        <w:rPr>
          <w:i/>
          <w:iCs/>
          <w:color w:val="000000"/>
        </w:rPr>
        <w:t>.</w:t>
      </w:r>
    </w:p>
    <w:p w:rsidR="007F742F" w:rsidRDefault="007F742F" w:rsidP="007F742F">
      <w:pPr>
        <w:autoSpaceDE w:val="0"/>
        <w:autoSpaceDN w:val="0"/>
        <w:adjustRightInd w:val="0"/>
        <w:rPr>
          <w:color w:val="000000"/>
        </w:rPr>
      </w:pPr>
      <w:r>
        <w:rPr>
          <w:color w:val="000000"/>
        </w:rPr>
        <w:t>(A) The API must include accompanying documentation that contains, at a</w:t>
      </w:r>
    </w:p>
    <w:p w:rsidR="007F742F" w:rsidRDefault="007F742F" w:rsidP="007F742F">
      <w:pPr>
        <w:autoSpaceDE w:val="0"/>
        <w:autoSpaceDN w:val="0"/>
        <w:adjustRightInd w:val="0"/>
        <w:rPr>
          <w:color w:val="000000"/>
        </w:rPr>
      </w:pPr>
      <w:proofErr w:type="gramStart"/>
      <w:r>
        <w:rPr>
          <w:color w:val="000000"/>
        </w:rPr>
        <w:t>minimum</w:t>
      </w:r>
      <w:proofErr w:type="gramEnd"/>
      <w:r>
        <w:rPr>
          <w:color w:val="000000"/>
        </w:rPr>
        <w:t>:</w:t>
      </w:r>
    </w:p>
    <w:p w:rsidR="007F742F" w:rsidRDefault="007F742F" w:rsidP="007F742F">
      <w:pPr>
        <w:autoSpaceDE w:val="0"/>
        <w:autoSpaceDN w:val="0"/>
        <w:adjustRightInd w:val="0"/>
        <w:rPr>
          <w:color w:val="000000"/>
        </w:rPr>
      </w:pPr>
      <w:r>
        <w:rPr>
          <w:color w:val="000000"/>
        </w:rPr>
        <w:t>(1) API syntax, function names, required and optional parameters and their</w:t>
      </w:r>
    </w:p>
    <w:p w:rsidR="007F742F" w:rsidRDefault="007F742F" w:rsidP="007F742F">
      <w:pPr>
        <w:autoSpaceDE w:val="0"/>
        <w:autoSpaceDN w:val="0"/>
        <w:adjustRightInd w:val="0"/>
        <w:rPr>
          <w:color w:val="000000"/>
        </w:rPr>
      </w:pPr>
      <w:proofErr w:type="gramStart"/>
      <w:r>
        <w:rPr>
          <w:color w:val="000000"/>
        </w:rPr>
        <w:t>data</w:t>
      </w:r>
      <w:proofErr w:type="gramEnd"/>
      <w:r>
        <w:rPr>
          <w:color w:val="000000"/>
        </w:rPr>
        <w:t xml:space="preserve"> types, return variables and their types/structures, exceptions and</w:t>
      </w:r>
    </w:p>
    <w:p w:rsidR="007F742F" w:rsidRDefault="007F742F" w:rsidP="007F742F">
      <w:pPr>
        <w:autoSpaceDE w:val="0"/>
        <w:autoSpaceDN w:val="0"/>
        <w:adjustRightInd w:val="0"/>
        <w:rPr>
          <w:color w:val="000000"/>
        </w:rPr>
      </w:pPr>
      <w:proofErr w:type="gramStart"/>
      <w:r>
        <w:rPr>
          <w:color w:val="000000"/>
        </w:rPr>
        <w:t>exception</w:t>
      </w:r>
      <w:proofErr w:type="gramEnd"/>
      <w:r>
        <w:rPr>
          <w:color w:val="000000"/>
        </w:rPr>
        <w:t xml:space="preserve"> handling methods and their returns.</w:t>
      </w:r>
    </w:p>
    <w:p w:rsidR="007F742F" w:rsidRDefault="007F742F" w:rsidP="007F742F">
      <w:pPr>
        <w:autoSpaceDE w:val="0"/>
        <w:autoSpaceDN w:val="0"/>
        <w:adjustRightInd w:val="0"/>
        <w:rPr>
          <w:color w:val="000000"/>
        </w:rPr>
      </w:pPr>
      <w:r>
        <w:rPr>
          <w:color w:val="000000"/>
        </w:rPr>
        <w:t>(2) The software components and configurations that would be necessary</w:t>
      </w:r>
    </w:p>
    <w:p w:rsidR="007F742F" w:rsidRDefault="007F742F" w:rsidP="007F742F">
      <w:pPr>
        <w:autoSpaceDE w:val="0"/>
        <w:autoSpaceDN w:val="0"/>
        <w:adjustRightInd w:val="0"/>
        <w:rPr>
          <w:color w:val="000000"/>
        </w:rPr>
      </w:pPr>
      <w:proofErr w:type="gramStart"/>
      <w:r>
        <w:rPr>
          <w:color w:val="000000"/>
        </w:rPr>
        <w:t>for</w:t>
      </w:r>
      <w:proofErr w:type="gramEnd"/>
      <w:r>
        <w:rPr>
          <w:color w:val="000000"/>
        </w:rPr>
        <w:t xml:space="preserve"> an application to implement in order to be able to successfully</w:t>
      </w:r>
    </w:p>
    <w:p w:rsidR="007F742F" w:rsidRDefault="007F742F" w:rsidP="007F742F">
      <w:pPr>
        <w:autoSpaceDE w:val="0"/>
        <w:autoSpaceDN w:val="0"/>
        <w:adjustRightInd w:val="0"/>
        <w:rPr>
          <w:color w:val="000000"/>
        </w:rPr>
      </w:pPr>
      <w:proofErr w:type="gramStart"/>
      <w:r>
        <w:rPr>
          <w:color w:val="000000"/>
        </w:rPr>
        <w:t>interact</w:t>
      </w:r>
      <w:proofErr w:type="gramEnd"/>
      <w:r>
        <w:rPr>
          <w:color w:val="000000"/>
        </w:rPr>
        <w:t xml:space="preserve"> with the API and process its response(s).</w:t>
      </w:r>
    </w:p>
    <w:p w:rsidR="007F742F" w:rsidRDefault="007F742F" w:rsidP="007F742F">
      <w:pPr>
        <w:autoSpaceDE w:val="0"/>
        <w:autoSpaceDN w:val="0"/>
        <w:adjustRightInd w:val="0"/>
        <w:rPr>
          <w:color w:val="000000"/>
        </w:rPr>
      </w:pPr>
      <w:r>
        <w:rPr>
          <w:color w:val="000000"/>
        </w:rPr>
        <w:t>(3) Terms of use</w:t>
      </w:r>
      <w:r>
        <w:rPr>
          <w:i/>
          <w:iCs/>
          <w:color w:val="000000"/>
        </w:rPr>
        <w:t xml:space="preserve">. </w:t>
      </w:r>
      <w:r>
        <w:rPr>
          <w:color w:val="000000"/>
        </w:rPr>
        <w:t>The terms of use for the API must be provided, including,</w:t>
      </w:r>
    </w:p>
    <w:p w:rsidR="007F742F" w:rsidRDefault="007F742F" w:rsidP="007F742F">
      <w:pPr>
        <w:autoSpaceDE w:val="0"/>
        <w:autoSpaceDN w:val="0"/>
        <w:adjustRightInd w:val="0"/>
        <w:rPr>
          <w:color w:val="000000"/>
        </w:rPr>
      </w:pPr>
      <w:proofErr w:type="gramStart"/>
      <w:r>
        <w:rPr>
          <w:color w:val="000000"/>
        </w:rPr>
        <w:t>at</w:t>
      </w:r>
      <w:proofErr w:type="gramEnd"/>
      <w:r>
        <w:rPr>
          <w:color w:val="000000"/>
        </w:rPr>
        <w:t xml:space="preserve"> a minimum, any associated developer policies and required developer</w:t>
      </w:r>
    </w:p>
    <w:p w:rsidR="007F742F" w:rsidRDefault="007F742F" w:rsidP="007F742F">
      <w:pPr>
        <w:autoSpaceDE w:val="0"/>
        <w:autoSpaceDN w:val="0"/>
        <w:adjustRightInd w:val="0"/>
        <w:rPr>
          <w:color w:val="000000"/>
        </w:rPr>
      </w:pPr>
      <w:proofErr w:type="gramStart"/>
      <w:r>
        <w:rPr>
          <w:color w:val="000000"/>
        </w:rPr>
        <w:t>agreements</w:t>
      </w:r>
      <w:proofErr w:type="gramEnd"/>
      <w:r>
        <w:rPr>
          <w:color w:val="000000"/>
        </w:rPr>
        <w:t>.</w:t>
      </w:r>
    </w:p>
    <w:p w:rsidR="007F742F" w:rsidRDefault="007F742F" w:rsidP="007F742F">
      <w:pPr>
        <w:autoSpaceDE w:val="0"/>
        <w:autoSpaceDN w:val="0"/>
        <w:adjustRightInd w:val="0"/>
        <w:rPr>
          <w:color w:val="000000"/>
        </w:rPr>
      </w:pPr>
      <w:r>
        <w:rPr>
          <w:color w:val="000000"/>
        </w:rPr>
        <w:t>(B) The documentation used to meet paragraph (g</w:t>
      </w:r>
      <w:proofErr w:type="gramStart"/>
      <w:r>
        <w:rPr>
          <w:color w:val="000000"/>
        </w:rPr>
        <w:t>)(</w:t>
      </w:r>
      <w:proofErr w:type="gramEnd"/>
      <w:r>
        <w:rPr>
          <w:color w:val="000000"/>
        </w:rPr>
        <w:t>9)(ii)(A) of this section</w:t>
      </w:r>
    </w:p>
    <w:p w:rsidR="000449FC" w:rsidRDefault="007F742F" w:rsidP="007F742F">
      <w:proofErr w:type="gramStart"/>
      <w:r>
        <w:rPr>
          <w:color w:val="000000"/>
        </w:rPr>
        <w:t>must</w:t>
      </w:r>
      <w:proofErr w:type="gramEnd"/>
      <w:r>
        <w:rPr>
          <w:color w:val="000000"/>
        </w:rPr>
        <w:t xml:space="preserve"> be available via a publicly accessible hyperlink.</w:t>
      </w:r>
    </w:p>
    <w:p w:rsidR="00FB252C" w:rsidRDefault="00FB252C" w:rsidP="00FB252C"/>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Pr="00265900" w:rsidRDefault="00362E3C" w:rsidP="00362E3C">
      <w:pPr>
        <w:ind w:left="720"/>
      </w:pPr>
    </w:p>
    <w:p w:rsidR="009A345B" w:rsidRDefault="009A345B" w:rsidP="009A345B">
      <w:pPr>
        <w:pStyle w:val="Heading1"/>
      </w:pPr>
      <w:bookmarkStart w:id="11" w:name="_Appendix_C:_CCDS"/>
      <w:bookmarkStart w:id="12" w:name="_Toc432066412"/>
      <w:bookmarkEnd w:id="2"/>
      <w:bookmarkEnd w:id="11"/>
      <w:r>
        <w:lastRenderedPageBreak/>
        <w:t>Appendix C: CCDS Reference Table</w:t>
      </w:r>
    </w:p>
    <w:p w:rsidR="009A345B" w:rsidRDefault="009A345B" w:rsidP="009A345B">
      <w:pPr>
        <w:pStyle w:val="Heading1"/>
        <w:rPr>
          <w:rFonts w:ascii="Times New Roman" w:hAnsi="Times New Roman" w:cs="Times New Roman"/>
          <w:b w:val="0"/>
          <w:bCs w:val="0"/>
          <w:i/>
          <w:kern w:val="0"/>
          <w:sz w:val="24"/>
          <w:szCs w:val="24"/>
        </w:rPr>
      </w:pPr>
      <w:r w:rsidRPr="00B53991">
        <w:rPr>
          <w:rFonts w:ascii="Times New Roman" w:hAnsi="Times New Roman" w:cs="Times New Roman"/>
          <w:b w:val="0"/>
          <w:bCs w:val="0"/>
          <w:i/>
          <w:kern w:val="0"/>
          <w:sz w:val="24"/>
          <w:szCs w:val="24"/>
        </w:rPr>
        <w:t xml:space="preserve">This appendix contains </w:t>
      </w:r>
      <w:r>
        <w:rPr>
          <w:rFonts w:ascii="Times New Roman" w:hAnsi="Times New Roman" w:cs="Times New Roman"/>
          <w:b w:val="0"/>
          <w:bCs w:val="0"/>
          <w:i/>
          <w:kern w:val="0"/>
          <w:sz w:val="24"/>
          <w:szCs w:val="24"/>
        </w:rPr>
        <w:t>a reference guide to evaluate the Common Clinical Data Set and additional elements are populated accurately and without omission.</w:t>
      </w:r>
    </w:p>
    <w:p w:rsidR="009A345B" w:rsidRPr="009A345B" w:rsidRDefault="009A345B" w:rsidP="009A345B"/>
    <w:p w:rsidR="009A345B" w:rsidRPr="00627815" w:rsidRDefault="009A345B" w:rsidP="009A345B">
      <w:pPr>
        <w:jc w:val="center"/>
        <w:rPr>
          <w:b/>
        </w:rPr>
      </w:pPr>
      <w:r w:rsidRPr="00627815">
        <w:rPr>
          <w:b/>
        </w:rPr>
        <w:t>CCDS Reference Table</w:t>
      </w:r>
    </w:p>
    <w:tbl>
      <w:tblPr>
        <w:tblStyle w:val="TableGrid"/>
        <w:tblW w:w="0" w:type="auto"/>
        <w:tblLook w:val="04A0" w:firstRow="1" w:lastRow="0" w:firstColumn="1" w:lastColumn="0" w:noHBand="0" w:noVBand="1"/>
      </w:tblPr>
      <w:tblGrid>
        <w:gridCol w:w="445"/>
        <w:gridCol w:w="2044"/>
        <w:gridCol w:w="2836"/>
        <w:gridCol w:w="3305"/>
      </w:tblGrid>
      <w:tr w:rsidR="009A345B" w:rsidRPr="005F4354" w:rsidTr="00793D12">
        <w:tc>
          <w:tcPr>
            <w:tcW w:w="445" w:type="dxa"/>
            <w:shd w:val="clear" w:color="auto" w:fill="DBE5F1" w:themeFill="accent1" w:themeFillTint="33"/>
          </w:tcPr>
          <w:p w:rsidR="009A345B" w:rsidRPr="009B02A8" w:rsidRDefault="009A345B" w:rsidP="00793D12">
            <w:pPr>
              <w:rPr>
                <w:rFonts w:ascii="Leelawadee UI" w:hAnsi="Leelawadee UI" w:cs="Leelawadee UI"/>
                <w:b/>
                <w:sz w:val="18"/>
                <w:szCs w:val="18"/>
              </w:rPr>
            </w:pPr>
          </w:p>
        </w:tc>
        <w:tc>
          <w:tcPr>
            <w:tcW w:w="2044" w:type="dxa"/>
            <w:shd w:val="clear" w:color="auto" w:fill="DBE5F1" w:themeFill="accent1" w:themeFillTint="33"/>
          </w:tcPr>
          <w:p w:rsidR="009A345B" w:rsidRPr="009B02A8" w:rsidRDefault="009A345B" w:rsidP="00793D12">
            <w:pPr>
              <w:rPr>
                <w:rFonts w:ascii="Leelawadee UI" w:hAnsi="Leelawadee UI" w:cs="Leelawadee UI"/>
                <w:b/>
                <w:sz w:val="18"/>
                <w:szCs w:val="18"/>
              </w:rPr>
            </w:pPr>
            <w:r w:rsidRPr="009B02A8">
              <w:rPr>
                <w:rFonts w:ascii="Leelawadee UI" w:hAnsi="Leelawadee UI" w:cs="Leelawadee UI"/>
                <w:b/>
                <w:sz w:val="18"/>
                <w:szCs w:val="18"/>
              </w:rPr>
              <w:t>Test Data</w:t>
            </w:r>
          </w:p>
        </w:tc>
        <w:tc>
          <w:tcPr>
            <w:tcW w:w="2836" w:type="dxa"/>
            <w:shd w:val="clear" w:color="auto" w:fill="DBE5F1" w:themeFill="accent1" w:themeFillTint="33"/>
          </w:tcPr>
          <w:p w:rsidR="009A345B" w:rsidRPr="009B02A8" w:rsidRDefault="009A345B" w:rsidP="00793D12">
            <w:pPr>
              <w:rPr>
                <w:rFonts w:ascii="Leelawadee UI" w:hAnsi="Leelawadee UI" w:cs="Leelawadee UI"/>
                <w:b/>
                <w:sz w:val="18"/>
                <w:szCs w:val="18"/>
              </w:rPr>
            </w:pPr>
            <w:r w:rsidRPr="009B02A8">
              <w:rPr>
                <w:rFonts w:ascii="Leelawadee UI" w:hAnsi="Leelawadee UI" w:cs="Leelawadee UI"/>
                <w:b/>
                <w:sz w:val="18"/>
                <w:szCs w:val="18"/>
              </w:rPr>
              <w:t xml:space="preserve">CCDS </w:t>
            </w:r>
          </w:p>
        </w:tc>
        <w:tc>
          <w:tcPr>
            <w:tcW w:w="3305" w:type="dxa"/>
            <w:shd w:val="clear" w:color="auto" w:fill="DBE5F1" w:themeFill="accent1" w:themeFillTint="33"/>
          </w:tcPr>
          <w:p w:rsidR="009A345B" w:rsidRPr="009B02A8" w:rsidRDefault="009A345B" w:rsidP="00793D12">
            <w:pPr>
              <w:rPr>
                <w:rFonts w:ascii="Leelawadee UI" w:hAnsi="Leelawadee UI" w:cs="Leelawadee UI"/>
                <w:b/>
                <w:sz w:val="18"/>
                <w:szCs w:val="18"/>
              </w:rPr>
            </w:pPr>
            <w:r w:rsidRPr="009B02A8">
              <w:rPr>
                <w:rFonts w:ascii="Leelawadee UI" w:hAnsi="Leelawadee UI" w:cs="Leelawadee UI"/>
                <w:b/>
                <w:sz w:val="18"/>
                <w:szCs w:val="18"/>
              </w:rPr>
              <w:t xml:space="preserve">Standard </w:t>
            </w:r>
          </w:p>
        </w:tc>
      </w:tr>
      <w:tr w:rsidR="009A345B" w:rsidRPr="00A55F60" w:rsidTr="00793D12">
        <w:sdt>
          <w:sdtPr>
            <w:rPr>
              <w:sz w:val="18"/>
              <w:szCs w:val="18"/>
            </w:rPr>
            <w:id w:val="818539253"/>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sidRPr="009B02A8">
              <w:rPr>
                <w:color w:val="000000" w:themeColor="text1"/>
                <w:sz w:val="18"/>
                <w:szCs w:val="18"/>
              </w:rPr>
              <w:t>Patient Name</w:t>
            </w:r>
          </w:p>
        </w:tc>
        <w:tc>
          <w:tcPr>
            <w:tcW w:w="3305" w:type="dxa"/>
          </w:tcPr>
          <w:p w:rsidR="009A345B" w:rsidRPr="009B02A8" w:rsidRDefault="009A345B" w:rsidP="00793D12">
            <w:pPr>
              <w:outlineLvl w:val="3"/>
              <w:rPr>
                <w:b/>
                <w:sz w:val="18"/>
                <w:szCs w:val="18"/>
              </w:rPr>
            </w:pPr>
            <w:r w:rsidRPr="009B02A8">
              <w:rPr>
                <w:b/>
                <w:sz w:val="18"/>
                <w:szCs w:val="18"/>
              </w:rPr>
              <w:t>&lt;Not applicable&gt;</w:t>
            </w:r>
          </w:p>
        </w:tc>
      </w:tr>
      <w:tr w:rsidR="009A345B" w:rsidRPr="00E074CB" w:rsidTr="00793D12">
        <w:sdt>
          <w:sdtPr>
            <w:rPr>
              <w:sz w:val="18"/>
              <w:szCs w:val="18"/>
            </w:rPr>
            <w:id w:val="755331926"/>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sidRPr="009B02A8">
              <w:rPr>
                <w:color w:val="000000" w:themeColor="text1"/>
                <w:sz w:val="18"/>
                <w:szCs w:val="18"/>
              </w:rPr>
              <w:t>Sex; including Birth sex</w:t>
            </w:r>
          </w:p>
        </w:tc>
        <w:tc>
          <w:tcPr>
            <w:tcW w:w="3305" w:type="dxa"/>
          </w:tcPr>
          <w:p w:rsidR="009A345B" w:rsidRPr="009B02A8" w:rsidRDefault="009A345B" w:rsidP="00793D12">
            <w:pPr>
              <w:outlineLvl w:val="3"/>
              <w:rPr>
                <w:b/>
                <w:color w:val="000000" w:themeColor="text1"/>
                <w:sz w:val="18"/>
                <w:szCs w:val="18"/>
              </w:rPr>
            </w:pPr>
            <w:r w:rsidRPr="009B02A8">
              <w:rPr>
                <w:b/>
                <w:sz w:val="18"/>
                <w:szCs w:val="18"/>
              </w:rPr>
              <w:t xml:space="preserve">§170.207 (n)(1) </w:t>
            </w:r>
          </w:p>
        </w:tc>
      </w:tr>
      <w:tr w:rsidR="009A345B" w:rsidRPr="00A55F60" w:rsidTr="00793D12">
        <w:sdt>
          <w:sdtPr>
            <w:rPr>
              <w:sz w:val="18"/>
              <w:szCs w:val="18"/>
            </w:rPr>
            <w:id w:val="312914917"/>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sidRPr="009B02A8">
              <w:rPr>
                <w:color w:val="000000" w:themeColor="text1"/>
                <w:sz w:val="18"/>
                <w:szCs w:val="18"/>
              </w:rPr>
              <w:t xml:space="preserve">Date of Birth </w:t>
            </w:r>
          </w:p>
        </w:tc>
        <w:tc>
          <w:tcPr>
            <w:tcW w:w="3305" w:type="dxa"/>
          </w:tcPr>
          <w:p w:rsidR="009A345B" w:rsidRPr="009B02A8" w:rsidRDefault="009A345B" w:rsidP="00793D12">
            <w:pPr>
              <w:outlineLvl w:val="3"/>
              <w:rPr>
                <w:b/>
                <w:sz w:val="18"/>
                <w:szCs w:val="18"/>
              </w:rPr>
            </w:pPr>
            <w:r w:rsidRPr="009B02A8">
              <w:rPr>
                <w:b/>
                <w:sz w:val="18"/>
                <w:szCs w:val="18"/>
              </w:rPr>
              <w:t>&lt;Not applicable&gt;</w:t>
            </w:r>
          </w:p>
        </w:tc>
      </w:tr>
      <w:tr w:rsidR="009A345B" w:rsidRPr="00E074CB" w:rsidTr="00793D12">
        <w:sdt>
          <w:sdtPr>
            <w:rPr>
              <w:sz w:val="18"/>
              <w:szCs w:val="18"/>
            </w:rPr>
            <w:id w:val="-1115364141"/>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sidRPr="009B02A8">
              <w:rPr>
                <w:color w:val="000000" w:themeColor="text1"/>
                <w:sz w:val="18"/>
                <w:szCs w:val="18"/>
              </w:rPr>
              <w:t>Race</w:t>
            </w:r>
          </w:p>
        </w:tc>
        <w:tc>
          <w:tcPr>
            <w:tcW w:w="3305" w:type="dxa"/>
          </w:tcPr>
          <w:p w:rsidR="009A345B" w:rsidRPr="009B02A8" w:rsidRDefault="009A345B" w:rsidP="00793D12">
            <w:pPr>
              <w:outlineLvl w:val="3"/>
              <w:rPr>
                <w:b/>
                <w:sz w:val="18"/>
                <w:szCs w:val="18"/>
              </w:rPr>
            </w:pPr>
            <w:r w:rsidRPr="009B02A8">
              <w:rPr>
                <w:b/>
                <w:sz w:val="18"/>
                <w:szCs w:val="18"/>
              </w:rPr>
              <w:t xml:space="preserve">§170.207 (f)(1) </w:t>
            </w:r>
            <w:r>
              <w:rPr>
                <w:sz w:val="18"/>
                <w:szCs w:val="18"/>
              </w:rPr>
              <w:t>m</w:t>
            </w:r>
            <w:r w:rsidRPr="009B02A8">
              <w:rPr>
                <w:sz w:val="18"/>
                <w:szCs w:val="18"/>
              </w:rPr>
              <w:t xml:space="preserve">apped to </w:t>
            </w:r>
            <w:r>
              <w:rPr>
                <w:b/>
                <w:sz w:val="18"/>
                <w:szCs w:val="18"/>
              </w:rPr>
              <w:t>§170.207</w:t>
            </w:r>
            <w:r w:rsidRPr="009B02A8">
              <w:rPr>
                <w:b/>
                <w:sz w:val="18"/>
                <w:szCs w:val="18"/>
              </w:rPr>
              <w:t>(f)(2)</w:t>
            </w:r>
            <w:r>
              <w:rPr>
                <w:b/>
                <w:sz w:val="18"/>
                <w:szCs w:val="18"/>
              </w:rPr>
              <w:t>;</w:t>
            </w:r>
          </w:p>
          <w:p w:rsidR="009A345B" w:rsidRPr="009B02A8" w:rsidRDefault="009A345B" w:rsidP="00793D12">
            <w:pPr>
              <w:outlineLvl w:val="3"/>
              <w:rPr>
                <w:b/>
                <w:color w:val="000000" w:themeColor="text1"/>
                <w:sz w:val="18"/>
                <w:szCs w:val="18"/>
              </w:rPr>
            </w:pPr>
            <w:r w:rsidRPr="009B02A8">
              <w:rPr>
                <w:b/>
                <w:sz w:val="18"/>
                <w:szCs w:val="18"/>
              </w:rPr>
              <w:t xml:space="preserve">§170.207 (f)(2) </w:t>
            </w:r>
          </w:p>
        </w:tc>
      </w:tr>
      <w:tr w:rsidR="009A345B" w:rsidRPr="00E074CB" w:rsidTr="00793D12">
        <w:sdt>
          <w:sdtPr>
            <w:rPr>
              <w:sz w:val="18"/>
              <w:szCs w:val="18"/>
            </w:rPr>
            <w:id w:val="-408850206"/>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sidRPr="009B02A8">
              <w:rPr>
                <w:color w:val="000000" w:themeColor="text1"/>
                <w:sz w:val="18"/>
                <w:szCs w:val="18"/>
              </w:rPr>
              <w:t>Ethnicity</w:t>
            </w:r>
          </w:p>
        </w:tc>
        <w:tc>
          <w:tcPr>
            <w:tcW w:w="3305" w:type="dxa"/>
          </w:tcPr>
          <w:p w:rsidR="009A345B" w:rsidRPr="009B02A8" w:rsidRDefault="009A345B" w:rsidP="00793D12">
            <w:pPr>
              <w:outlineLvl w:val="3"/>
              <w:rPr>
                <w:b/>
                <w:sz w:val="18"/>
                <w:szCs w:val="18"/>
              </w:rPr>
            </w:pPr>
            <w:r>
              <w:rPr>
                <w:b/>
                <w:sz w:val="18"/>
                <w:szCs w:val="18"/>
              </w:rPr>
              <w:t>§170.207</w:t>
            </w:r>
            <w:r w:rsidRPr="009B02A8">
              <w:rPr>
                <w:b/>
                <w:sz w:val="18"/>
                <w:szCs w:val="18"/>
              </w:rPr>
              <w:t xml:space="preserve">(f)(1) </w:t>
            </w:r>
            <w:r w:rsidRPr="001F3767">
              <w:rPr>
                <w:sz w:val="18"/>
                <w:szCs w:val="18"/>
              </w:rPr>
              <w:t>mapped to</w:t>
            </w:r>
            <w:r>
              <w:rPr>
                <w:b/>
                <w:sz w:val="18"/>
                <w:szCs w:val="18"/>
              </w:rPr>
              <w:t xml:space="preserve"> §170.207</w:t>
            </w:r>
            <w:r w:rsidRPr="009B02A8">
              <w:rPr>
                <w:b/>
                <w:sz w:val="18"/>
                <w:szCs w:val="18"/>
              </w:rPr>
              <w:t>(f)(2)</w:t>
            </w:r>
            <w:r>
              <w:rPr>
                <w:b/>
                <w:sz w:val="18"/>
                <w:szCs w:val="18"/>
              </w:rPr>
              <w:t xml:space="preserve">; </w:t>
            </w:r>
          </w:p>
          <w:p w:rsidR="009A345B" w:rsidRPr="009B02A8" w:rsidRDefault="009A345B" w:rsidP="00793D12">
            <w:pPr>
              <w:rPr>
                <w:b/>
                <w:color w:val="000000" w:themeColor="text1"/>
                <w:sz w:val="18"/>
                <w:szCs w:val="18"/>
              </w:rPr>
            </w:pPr>
            <w:r w:rsidRPr="009B02A8">
              <w:rPr>
                <w:b/>
                <w:sz w:val="18"/>
                <w:szCs w:val="18"/>
              </w:rPr>
              <w:t>§170.207 (f)(2)</w:t>
            </w:r>
          </w:p>
        </w:tc>
      </w:tr>
      <w:tr w:rsidR="009A345B" w:rsidRPr="00E074CB" w:rsidTr="00793D12">
        <w:sdt>
          <w:sdtPr>
            <w:rPr>
              <w:sz w:val="18"/>
              <w:szCs w:val="18"/>
            </w:rPr>
            <w:id w:val="-534424297"/>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sidRPr="009B02A8">
              <w:rPr>
                <w:color w:val="000000" w:themeColor="text1"/>
                <w:sz w:val="18"/>
                <w:szCs w:val="18"/>
              </w:rPr>
              <w:t>Preferred Language</w:t>
            </w:r>
          </w:p>
        </w:tc>
        <w:tc>
          <w:tcPr>
            <w:tcW w:w="3305" w:type="dxa"/>
          </w:tcPr>
          <w:p w:rsidR="009A345B" w:rsidRPr="009B02A8" w:rsidRDefault="009A345B" w:rsidP="00793D12">
            <w:pPr>
              <w:outlineLvl w:val="3"/>
              <w:rPr>
                <w:sz w:val="18"/>
                <w:szCs w:val="18"/>
              </w:rPr>
            </w:pPr>
            <w:r w:rsidRPr="009B02A8">
              <w:rPr>
                <w:b/>
                <w:sz w:val="18"/>
                <w:szCs w:val="18"/>
              </w:rPr>
              <w:t xml:space="preserve">§170.207 (g)(2) </w:t>
            </w:r>
            <w:r w:rsidRPr="009B02A8">
              <w:rPr>
                <w:sz w:val="18"/>
                <w:szCs w:val="18"/>
              </w:rPr>
              <w:t xml:space="preserve"> </w:t>
            </w:r>
          </w:p>
          <w:p w:rsidR="009A345B" w:rsidRPr="009B02A8" w:rsidRDefault="009A345B" w:rsidP="00793D12">
            <w:pPr>
              <w:outlineLvl w:val="3"/>
              <w:rPr>
                <w:b/>
                <w:color w:val="000000" w:themeColor="text1"/>
                <w:sz w:val="18"/>
                <w:szCs w:val="18"/>
              </w:rPr>
            </w:pPr>
          </w:p>
        </w:tc>
      </w:tr>
      <w:tr w:rsidR="009A345B" w:rsidRPr="00E074CB" w:rsidTr="00793D12">
        <w:sdt>
          <w:sdtPr>
            <w:rPr>
              <w:sz w:val="18"/>
              <w:szCs w:val="18"/>
            </w:rPr>
            <w:id w:val="-1434048066"/>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sidRPr="009B02A8">
              <w:rPr>
                <w:color w:val="000000" w:themeColor="text1"/>
                <w:sz w:val="18"/>
                <w:szCs w:val="18"/>
              </w:rPr>
              <w:t>Smoking Status</w:t>
            </w:r>
          </w:p>
        </w:tc>
        <w:tc>
          <w:tcPr>
            <w:tcW w:w="3305" w:type="dxa"/>
          </w:tcPr>
          <w:p w:rsidR="009A345B" w:rsidRPr="009B02A8" w:rsidRDefault="009A345B" w:rsidP="00793D12">
            <w:pPr>
              <w:outlineLvl w:val="3"/>
              <w:rPr>
                <w:sz w:val="18"/>
                <w:szCs w:val="18"/>
              </w:rPr>
            </w:pPr>
            <w:r w:rsidRPr="009B02A8">
              <w:rPr>
                <w:b/>
                <w:sz w:val="18"/>
                <w:szCs w:val="18"/>
              </w:rPr>
              <w:t xml:space="preserve">§170.207 (h) </w:t>
            </w:r>
          </w:p>
          <w:p w:rsidR="009A345B" w:rsidRPr="009B02A8" w:rsidRDefault="009A345B" w:rsidP="00793D12">
            <w:pPr>
              <w:rPr>
                <w:b/>
                <w:color w:val="000000" w:themeColor="text1"/>
                <w:sz w:val="18"/>
                <w:szCs w:val="18"/>
              </w:rPr>
            </w:pPr>
          </w:p>
        </w:tc>
      </w:tr>
      <w:tr w:rsidR="009A345B" w:rsidRPr="00A55F60" w:rsidTr="00793D12">
        <w:sdt>
          <w:sdtPr>
            <w:rPr>
              <w:sz w:val="18"/>
              <w:szCs w:val="18"/>
            </w:rPr>
            <w:id w:val="-1570187291"/>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sidRPr="009B02A8">
              <w:rPr>
                <w:color w:val="000000" w:themeColor="text1"/>
                <w:sz w:val="18"/>
                <w:szCs w:val="18"/>
              </w:rPr>
              <w:t xml:space="preserve">Problems </w:t>
            </w:r>
          </w:p>
        </w:tc>
        <w:tc>
          <w:tcPr>
            <w:tcW w:w="3305" w:type="dxa"/>
          </w:tcPr>
          <w:p w:rsidR="009A345B" w:rsidRPr="009B02A8" w:rsidRDefault="009A345B" w:rsidP="00793D12">
            <w:pPr>
              <w:outlineLvl w:val="3"/>
              <w:rPr>
                <w:b/>
                <w:sz w:val="18"/>
                <w:szCs w:val="18"/>
              </w:rPr>
            </w:pPr>
            <w:r w:rsidRPr="009B02A8">
              <w:rPr>
                <w:b/>
                <w:sz w:val="18"/>
                <w:szCs w:val="18"/>
              </w:rPr>
              <w:t xml:space="preserve">§170.207 (a)(4) </w:t>
            </w:r>
          </w:p>
        </w:tc>
      </w:tr>
      <w:tr w:rsidR="009A345B" w:rsidRPr="00E074CB" w:rsidTr="00793D12">
        <w:sdt>
          <w:sdtPr>
            <w:rPr>
              <w:sz w:val="18"/>
              <w:szCs w:val="18"/>
            </w:rPr>
            <w:id w:val="-776254348"/>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sidRPr="009B02A8">
              <w:rPr>
                <w:color w:val="000000" w:themeColor="text1"/>
                <w:sz w:val="18"/>
                <w:szCs w:val="18"/>
              </w:rPr>
              <w:t>Medications</w:t>
            </w:r>
          </w:p>
        </w:tc>
        <w:tc>
          <w:tcPr>
            <w:tcW w:w="3305" w:type="dxa"/>
          </w:tcPr>
          <w:p w:rsidR="009A345B" w:rsidRPr="009B02A8" w:rsidRDefault="009A345B" w:rsidP="00793D12">
            <w:pPr>
              <w:rPr>
                <w:b/>
                <w:color w:val="000000" w:themeColor="text1"/>
                <w:sz w:val="18"/>
                <w:szCs w:val="18"/>
              </w:rPr>
            </w:pPr>
            <w:r w:rsidRPr="009B02A8">
              <w:rPr>
                <w:b/>
                <w:sz w:val="18"/>
                <w:szCs w:val="18"/>
              </w:rPr>
              <w:t xml:space="preserve">§170.207 (d)(3) </w:t>
            </w:r>
          </w:p>
        </w:tc>
      </w:tr>
      <w:tr w:rsidR="009A345B" w:rsidRPr="00E074CB" w:rsidTr="00793D12">
        <w:sdt>
          <w:sdtPr>
            <w:rPr>
              <w:sz w:val="18"/>
              <w:szCs w:val="18"/>
            </w:rPr>
            <w:id w:val="1613783151"/>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sidRPr="009B02A8">
              <w:rPr>
                <w:color w:val="000000" w:themeColor="text1"/>
                <w:sz w:val="18"/>
                <w:szCs w:val="18"/>
              </w:rPr>
              <w:t>Allergies</w:t>
            </w:r>
          </w:p>
        </w:tc>
        <w:tc>
          <w:tcPr>
            <w:tcW w:w="3305" w:type="dxa"/>
          </w:tcPr>
          <w:p w:rsidR="009A345B" w:rsidRPr="009B02A8" w:rsidRDefault="009A345B" w:rsidP="00793D12">
            <w:pPr>
              <w:rPr>
                <w:b/>
                <w:color w:val="000000" w:themeColor="text1"/>
                <w:sz w:val="18"/>
                <w:szCs w:val="18"/>
              </w:rPr>
            </w:pPr>
            <w:r w:rsidRPr="009B02A8">
              <w:rPr>
                <w:b/>
                <w:sz w:val="18"/>
                <w:szCs w:val="18"/>
              </w:rPr>
              <w:t xml:space="preserve">§170.207 (d)(3) </w:t>
            </w:r>
          </w:p>
        </w:tc>
      </w:tr>
      <w:tr w:rsidR="009A345B" w:rsidRPr="0017610B" w:rsidTr="00793D12">
        <w:sdt>
          <w:sdtPr>
            <w:rPr>
              <w:sz w:val="18"/>
              <w:szCs w:val="18"/>
            </w:rPr>
            <w:id w:val="-616289504"/>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sidRPr="009B02A8">
              <w:rPr>
                <w:color w:val="000000" w:themeColor="text1"/>
                <w:sz w:val="18"/>
                <w:szCs w:val="18"/>
              </w:rPr>
              <w:t>Lab Tests</w:t>
            </w:r>
          </w:p>
        </w:tc>
        <w:tc>
          <w:tcPr>
            <w:tcW w:w="3305" w:type="dxa"/>
          </w:tcPr>
          <w:p w:rsidR="009A345B" w:rsidRPr="009B02A8" w:rsidRDefault="009A345B" w:rsidP="00793D12">
            <w:pPr>
              <w:rPr>
                <w:b/>
                <w:color w:val="000000" w:themeColor="text1"/>
                <w:sz w:val="18"/>
                <w:szCs w:val="18"/>
              </w:rPr>
            </w:pPr>
            <w:r w:rsidRPr="009B02A8">
              <w:rPr>
                <w:b/>
                <w:sz w:val="18"/>
                <w:szCs w:val="18"/>
              </w:rPr>
              <w:t xml:space="preserve">§170.207 (m)(1) </w:t>
            </w:r>
          </w:p>
        </w:tc>
      </w:tr>
      <w:tr w:rsidR="009A345B" w:rsidRPr="00001E37" w:rsidTr="00793D12">
        <w:sdt>
          <w:sdtPr>
            <w:rPr>
              <w:sz w:val="18"/>
              <w:szCs w:val="18"/>
            </w:rPr>
            <w:id w:val="-1325265046"/>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sidRPr="009B02A8">
              <w:rPr>
                <w:color w:val="000000" w:themeColor="text1"/>
                <w:sz w:val="18"/>
                <w:szCs w:val="18"/>
              </w:rPr>
              <w:t>Lab Values(s)/Results</w:t>
            </w:r>
          </w:p>
        </w:tc>
        <w:tc>
          <w:tcPr>
            <w:tcW w:w="3305" w:type="dxa"/>
          </w:tcPr>
          <w:p w:rsidR="009A345B" w:rsidRPr="009B02A8" w:rsidRDefault="009A345B" w:rsidP="00793D12">
            <w:pPr>
              <w:outlineLvl w:val="3"/>
              <w:rPr>
                <w:b/>
                <w:sz w:val="18"/>
                <w:szCs w:val="18"/>
              </w:rPr>
            </w:pPr>
            <w:r w:rsidRPr="009B02A8">
              <w:rPr>
                <w:b/>
                <w:sz w:val="18"/>
                <w:szCs w:val="18"/>
              </w:rPr>
              <w:t>&lt;Not applicable&gt;</w:t>
            </w:r>
          </w:p>
        </w:tc>
      </w:tr>
      <w:tr w:rsidR="009A345B" w:rsidRPr="00E074CB" w:rsidTr="00793D12">
        <w:sdt>
          <w:sdtPr>
            <w:rPr>
              <w:sz w:val="18"/>
              <w:szCs w:val="18"/>
            </w:rPr>
            <w:id w:val="-1684668470"/>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sidRPr="009B02A8">
              <w:rPr>
                <w:color w:val="000000" w:themeColor="text1"/>
                <w:sz w:val="18"/>
                <w:szCs w:val="18"/>
              </w:rPr>
              <w:t>Vital Signs</w:t>
            </w:r>
          </w:p>
        </w:tc>
        <w:tc>
          <w:tcPr>
            <w:tcW w:w="3305" w:type="dxa"/>
          </w:tcPr>
          <w:p w:rsidR="009A345B" w:rsidRPr="009B02A8" w:rsidRDefault="009A345B" w:rsidP="00793D12">
            <w:pPr>
              <w:outlineLvl w:val="3"/>
              <w:rPr>
                <w:sz w:val="18"/>
                <w:szCs w:val="18"/>
              </w:rPr>
            </w:pPr>
            <w:r w:rsidRPr="009B02A8">
              <w:rPr>
                <w:b/>
                <w:sz w:val="18"/>
                <w:szCs w:val="18"/>
              </w:rPr>
              <w:t>§170.207 (k)(1), §170.207 (m)(1)</w:t>
            </w:r>
          </w:p>
          <w:p w:rsidR="009A345B" w:rsidRPr="009B02A8" w:rsidRDefault="009A345B" w:rsidP="00793D12">
            <w:pPr>
              <w:rPr>
                <w:b/>
                <w:color w:val="000000" w:themeColor="text1"/>
                <w:sz w:val="18"/>
                <w:szCs w:val="18"/>
              </w:rPr>
            </w:pPr>
          </w:p>
        </w:tc>
      </w:tr>
      <w:tr w:rsidR="009A345B" w:rsidRPr="00E074CB" w:rsidTr="00793D12">
        <w:sdt>
          <w:sdtPr>
            <w:rPr>
              <w:sz w:val="18"/>
              <w:szCs w:val="18"/>
            </w:rPr>
            <w:id w:val="1409818009"/>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sidRPr="009B02A8">
              <w:rPr>
                <w:color w:val="000000" w:themeColor="text1"/>
                <w:sz w:val="18"/>
                <w:szCs w:val="18"/>
              </w:rPr>
              <w:t>BMI (Optional)</w:t>
            </w:r>
          </w:p>
        </w:tc>
        <w:tc>
          <w:tcPr>
            <w:tcW w:w="3305" w:type="dxa"/>
          </w:tcPr>
          <w:p w:rsidR="009A345B" w:rsidRPr="009B02A8" w:rsidRDefault="009A345B" w:rsidP="00793D12">
            <w:pPr>
              <w:outlineLvl w:val="3"/>
              <w:rPr>
                <w:b/>
                <w:color w:val="000000" w:themeColor="text1"/>
                <w:sz w:val="18"/>
                <w:szCs w:val="18"/>
              </w:rPr>
            </w:pPr>
            <w:r w:rsidRPr="009B02A8">
              <w:rPr>
                <w:b/>
                <w:sz w:val="18"/>
                <w:szCs w:val="18"/>
              </w:rPr>
              <w:t>§170.207 (c)(3), §170.207 (m)(1)</w:t>
            </w:r>
          </w:p>
        </w:tc>
      </w:tr>
      <w:tr w:rsidR="009A345B" w:rsidRPr="00E074CB" w:rsidTr="00793D12">
        <w:sdt>
          <w:sdtPr>
            <w:rPr>
              <w:sz w:val="18"/>
              <w:szCs w:val="18"/>
            </w:rPr>
            <w:id w:val="-692297533"/>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sidRPr="009B02A8">
              <w:rPr>
                <w:color w:val="000000" w:themeColor="text1"/>
                <w:sz w:val="18"/>
                <w:szCs w:val="18"/>
              </w:rPr>
              <w:t>BMI (Optional)</w:t>
            </w:r>
          </w:p>
        </w:tc>
        <w:tc>
          <w:tcPr>
            <w:tcW w:w="3305" w:type="dxa"/>
          </w:tcPr>
          <w:p w:rsidR="009A345B" w:rsidRPr="009B02A8" w:rsidRDefault="009A345B" w:rsidP="00793D12">
            <w:pPr>
              <w:outlineLvl w:val="3"/>
              <w:rPr>
                <w:b/>
                <w:color w:val="000000" w:themeColor="text1"/>
                <w:sz w:val="18"/>
                <w:szCs w:val="18"/>
              </w:rPr>
            </w:pPr>
          </w:p>
        </w:tc>
      </w:tr>
      <w:tr w:rsidR="009A345B" w:rsidRPr="00A55F60" w:rsidTr="00793D12">
        <w:sdt>
          <w:sdtPr>
            <w:rPr>
              <w:sz w:val="18"/>
              <w:szCs w:val="18"/>
            </w:rPr>
            <w:id w:val="2122643522"/>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sidRPr="009B02A8">
              <w:rPr>
                <w:color w:val="000000" w:themeColor="text1"/>
                <w:sz w:val="18"/>
                <w:szCs w:val="18"/>
              </w:rPr>
              <w:t>Procedures</w:t>
            </w:r>
          </w:p>
        </w:tc>
        <w:tc>
          <w:tcPr>
            <w:tcW w:w="3305" w:type="dxa"/>
          </w:tcPr>
          <w:p w:rsidR="009A345B" w:rsidRPr="009B02A8" w:rsidRDefault="009A345B" w:rsidP="00793D12">
            <w:pPr>
              <w:outlineLvl w:val="3"/>
              <w:rPr>
                <w:sz w:val="18"/>
                <w:szCs w:val="18"/>
              </w:rPr>
            </w:pPr>
            <w:r w:rsidRPr="009B02A8">
              <w:rPr>
                <w:b/>
                <w:sz w:val="18"/>
                <w:szCs w:val="18"/>
              </w:rPr>
              <w:t xml:space="preserve">§170.207 (a)(4) </w:t>
            </w:r>
          </w:p>
          <w:p w:rsidR="009A345B" w:rsidRPr="009B02A8" w:rsidRDefault="009A345B" w:rsidP="00793D12">
            <w:pPr>
              <w:outlineLvl w:val="3"/>
              <w:rPr>
                <w:b/>
                <w:sz w:val="18"/>
                <w:szCs w:val="18"/>
              </w:rPr>
            </w:pPr>
            <w:r w:rsidRPr="009B02A8">
              <w:rPr>
                <w:b/>
                <w:sz w:val="18"/>
                <w:szCs w:val="18"/>
              </w:rPr>
              <w:t xml:space="preserve">§170.207 (b)(2) </w:t>
            </w:r>
          </w:p>
        </w:tc>
      </w:tr>
      <w:tr w:rsidR="009A345B" w:rsidRPr="00E074CB" w:rsidTr="00793D12">
        <w:sdt>
          <w:sdtPr>
            <w:rPr>
              <w:sz w:val="18"/>
              <w:szCs w:val="18"/>
            </w:rPr>
            <w:id w:val="1792633788"/>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sidRPr="009B02A8">
              <w:rPr>
                <w:color w:val="000000" w:themeColor="text1"/>
                <w:sz w:val="18"/>
                <w:szCs w:val="18"/>
              </w:rPr>
              <w:t>Procedures (Optional: for dental systems)</w:t>
            </w:r>
          </w:p>
        </w:tc>
        <w:tc>
          <w:tcPr>
            <w:tcW w:w="3305" w:type="dxa"/>
          </w:tcPr>
          <w:p w:rsidR="009A345B" w:rsidRPr="009B02A8" w:rsidRDefault="009A345B" w:rsidP="00793D12">
            <w:pPr>
              <w:outlineLvl w:val="3"/>
              <w:rPr>
                <w:b/>
                <w:color w:val="000000" w:themeColor="text1"/>
                <w:sz w:val="18"/>
                <w:szCs w:val="18"/>
              </w:rPr>
            </w:pPr>
            <w:r w:rsidRPr="009B02A8">
              <w:rPr>
                <w:b/>
                <w:sz w:val="18"/>
                <w:szCs w:val="18"/>
              </w:rPr>
              <w:t xml:space="preserve">§170.207 (b)(3) </w:t>
            </w:r>
          </w:p>
        </w:tc>
      </w:tr>
      <w:tr w:rsidR="009A345B" w:rsidRPr="00E074CB" w:rsidTr="00793D12">
        <w:sdt>
          <w:sdtPr>
            <w:rPr>
              <w:sz w:val="18"/>
              <w:szCs w:val="18"/>
            </w:rPr>
            <w:id w:val="1889223916"/>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sidRPr="009B02A8">
              <w:rPr>
                <w:color w:val="000000" w:themeColor="text1"/>
                <w:sz w:val="18"/>
                <w:szCs w:val="18"/>
              </w:rPr>
              <w:t>Procedures (Optional)</w:t>
            </w:r>
          </w:p>
        </w:tc>
        <w:tc>
          <w:tcPr>
            <w:tcW w:w="3305" w:type="dxa"/>
          </w:tcPr>
          <w:p w:rsidR="009A345B" w:rsidRPr="009B02A8" w:rsidRDefault="009A345B" w:rsidP="00793D12">
            <w:pPr>
              <w:outlineLvl w:val="3"/>
              <w:rPr>
                <w:b/>
                <w:color w:val="000000" w:themeColor="text1"/>
                <w:sz w:val="18"/>
                <w:szCs w:val="18"/>
              </w:rPr>
            </w:pPr>
            <w:r w:rsidRPr="009B02A8">
              <w:rPr>
                <w:b/>
                <w:sz w:val="18"/>
                <w:szCs w:val="18"/>
              </w:rPr>
              <w:t xml:space="preserve">§170.207 (b)(4) </w:t>
            </w:r>
          </w:p>
        </w:tc>
      </w:tr>
      <w:tr w:rsidR="009A345B" w:rsidRPr="00E074CB" w:rsidTr="00793D12">
        <w:sdt>
          <w:sdtPr>
            <w:rPr>
              <w:sz w:val="18"/>
              <w:szCs w:val="18"/>
            </w:rPr>
            <w:id w:val="1964375006"/>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D9D9D9" w:themeColor="background1" w:themeShade="D9"/>
                <w:sz w:val="18"/>
                <w:szCs w:val="18"/>
              </w:rPr>
            </w:pPr>
            <w:r w:rsidRPr="009B02A8">
              <w:rPr>
                <w:color w:val="000000" w:themeColor="text1"/>
                <w:sz w:val="18"/>
                <w:szCs w:val="18"/>
              </w:rPr>
              <w:t>Care Team Member(s)</w:t>
            </w:r>
          </w:p>
        </w:tc>
        <w:tc>
          <w:tcPr>
            <w:tcW w:w="3305" w:type="dxa"/>
          </w:tcPr>
          <w:p w:rsidR="009A345B" w:rsidRPr="009B02A8" w:rsidRDefault="009A345B" w:rsidP="00793D12">
            <w:pPr>
              <w:rPr>
                <w:b/>
                <w:color w:val="000000" w:themeColor="text1"/>
                <w:sz w:val="18"/>
                <w:szCs w:val="18"/>
              </w:rPr>
            </w:pPr>
            <w:r w:rsidRPr="009B02A8">
              <w:rPr>
                <w:b/>
                <w:sz w:val="18"/>
                <w:szCs w:val="18"/>
              </w:rPr>
              <w:t>&lt;Not applicable&gt;</w:t>
            </w:r>
          </w:p>
        </w:tc>
      </w:tr>
      <w:tr w:rsidR="009A345B" w:rsidRPr="00E074CB" w:rsidTr="00793D12">
        <w:sdt>
          <w:sdtPr>
            <w:rPr>
              <w:sz w:val="18"/>
              <w:szCs w:val="18"/>
            </w:rPr>
            <w:id w:val="-564721105"/>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sidRPr="009B02A8">
              <w:rPr>
                <w:color w:val="000000" w:themeColor="text1"/>
                <w:sz w:val="18"/>
                <w:szCs w:val="18"/>
              </w:rPr>
              <w:t>Immunizations</w:t>
            </w:r>
          </w:p>
        </w:tc>
        <w:tc>
          <w:tcPr>
            <w:tcW w:w="3305" w:type="dxa"/>
          </w:tcPr>
          <w:p w:rsidR="009A345B" w:rsidRPr="009B02A8" w:rsidRDefault="009A345B" w:rsidP="00793D12">
            <w:pPr>
              <w:outlineLvl w:val="3"/>
              <w:rPr>
                <w:b/>
                <w:color w:val="000000" w:themeColor="text1"/>
                <w:sz w:val="18"/>
                <w:szCs w:val="18"/>
              </w:rPr>
            </w:pPr>
            <w:r w:rsidRPr="009B02A8">
              <w:rPr>
                <w:b/>
                <w:sz w:val="18"/>
                <w:szCs w:val="18"/>
              </w:rPr>
              <w:t>§170.207 (e)(3), §170.207 (e)(4)</w:t>
            </w:r>
          </w:p>
        </w:tc>
      </w:tr>
      <w:tr w:rsidR="009A345B" w:rsidRPr="0017610B" w:rsidTr="00793D12">
        <w:sdt>
          <w:sdtPr>
            <w:rPr>
              <w:sz w:val="18"/>
              <w:szCs w:val="18"/>
            </w:rPr>
            <w:id w:val="6034778"/>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sidRPr="009B02A8">
              <w:rPr>
                <w:color w:val="000000" w:themeColor="text1"/>
                <w:sz w:val="18"/>
                <w:szCs w:val="18"/>
              </w:rPr>
              <w:t>Unique Device Identifier(s) for a Patient’s Implantable Device(s)</w:t>
            </w:r>
          </w:p>
        </w:tc>
        <w:tc>
          <w:tcPr>
            <w:tcW w:w="3305" w:type="dxa"/>
          </w:tcPr>
          <w:p w:rsidR="009A345B" w:rsidRPr="009B02A8" w:rsidRDefault="009A345B" w:rsidP="00793D12">
            <w:pPr>
              <w:rPr>
                <w:b/>
                <w:color w:val="000000" w:themeColor="text1"/>
                <w:sz w:val="18"/>
                <w:szCs w:val="18"/>
              </w:rPr>
            </w:pPr>
            <w:r w:rsidRPr="009B02A8">
              <w:rPr>
                <w:b/>
                <w:color w:val="000000" w:themeColor="text1"/>
                <w:sz w:val="18"/>
                <w:szCs w:val="18"/>
              </w:rPr>
              <w:t>“Product Instance” in the “Procedure Activity Procedure Section” of the standard specified in § 170.205(a)(4)</w:t>
            </w:r>
          </w:p>
        </w:tc>
      </w:tr>
      <w:tr w:rsidR="009A345B" w:rsidRPr="00F247E9" w:rsidTr="00793D12">
        <w:sdt>
          <w:sdtPr>
            <w:rPr>
              <w:sz w:val="18"/>
              <w:szCs w:val="18"/>
            </w:rPr>
            <w:id w:val="1619953043"/>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sidRPr="009B02A8">
              <w:rPr>
                <w:color w:val="000000" w:themeColor="text1"/>
                <w:sz w:val="18"/>
                <w:szCs w:val="18"/>
              </w:rPr>
              <w:t>Assessment and Plan of Treatment</w:t>
            </w:r>
          </w:p>
        </w:tc>
        <w:tc>
          <w:tcPr>
            <w:tcW w:w="3305" w:type="dxa"/>
          </w:tcPr>
          <w:p w:rsidR="009A345B" w:rsidRPr="009B02A8" w:rsidRDefault="009A345B" w:rsidP="00793D12">
            <w:pPr>
              <w:rPr>
                <w:b/>
                <w:color w:val="000000" w:themeColor="text1"/>
                <w:sz w:val="18"/>
                <w:szCs w:val="18"/>
              </w:rPr>
            </w:pPr>
            <w:r w:rsidRPr="009B02A8">
              <w:rPr>
                <w:b/>
                <w:color w:val="000000" w:themeColor="text1"/>
                <w:sz w:val="18"/>
                <w:szCs w:val="18"/>
              </w:rPr>
              <w:t>In accordance with the “Assessment and Plan Section (V2)” of the standard specified in § 170.205(a)(4); or</w:t>
            </w:r>
          </w:p>
          <w:p w:rsidR="009A345B" w:rsidRPr="009B02A8" w:rsidRDefault="009A345B" w:rsidP="00793D12">
            <w:pPr>
              <w:rPr>
                <w:color w:val="000000" w:themeColor="text1"/>
                <w:sz w:val="18"/>
                <w:szCs w:val="18"/>
              </w:rPr>
            </w:pPr>
            <w:r w:rsidRPr="009B02A8">
              <w:rPr>
                <w:b/>
                <w:color w:val="000000" w:themeColor="text1"/>
                <w:sz w:val="18"/>
                <w:szCs w:val="18"/>
              </w:rPr>
              <w:t xml:space="preserve">In accordance with the “Assessment Section (V2)” and “Plan of Treatment </w:t>
            </w:r>
            <w:r w:rsidRPr="009B02A8">
              <w:rPr>
                <w:b/>
                <w:color w:val="000000" w:themeColor="text1"/>
                <w:sz w:val="18"/>
                <w:szCs w:val="18"/>
              </w:rPr>
              <w:lastRenderedPageBreak/>
              <w:t>Section (V2)” of the standard specified in § 170.205(a</w:t>
            </w:r>
            <w:proofErr w:type="gramStart"/>
            <w:r w:rsidRPr="009B02A8">
              <w:rPr>
                <w:b/>
                <w:color w:val="000000" w:themeColor="text1"/>
                <w:sz w:val="18"/>
                <w:szCs w:val="18"/>
              </w:rPr>
              <w:t>)(</w:t>
            </w:r>
            <w:proofErr w:type="gramEnd"/>
            <w:r w:rsidRPr="009B02A8">
              <w:rPr>
                <w:b/>
                <w:color w:val="000000" w:themeColor="text1"/>
                <w:sz w:val="18"/>
                <w:szCs w:val="18"/>
              </w:rPr>
              <w:t>4).</w:t>
            </w:r>
          </w:p>
        </w:tc>
      </w:tr>
      <w:tr w:rsidR="009A345B" w:rsidRPr="0017610B" w:rsidTr="00793D12">
        <w:sdt>
          <w:sdtPr>
            <w:rPr>
              <w:sz w:val="18"/>
              <w:szCs w:val="18"/>
            </w:rPr>
            <w:id w:val="-1297444074"/>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sidRPr="009B02A8">
              <w:rPr>
                <w:color w:val="000000" w:themeColor="text1"/>
                <w:sz w:val="18"/>
                <w:szCs w:val="18"/>
              </w:rPr>
              <w:t>Goals</w:t>
            </w:r>
          </w:p>
        </w:tc>
        <w:tc>
          <w:tcPr>
            <w:tcW w:w="3305" w:type="dxa"/>
          </w:tcPr>
          <w:p w:rsidR="009A345B" w:rsidRPr="009B02A8" w:rsidRDefault="009A345B" w:rsidP="00793D12">
            <w:pPr>
              <w:rPr>
                <w:b/>
                <w:color w:val="000000" w:themeColor="text1"/>
                <w:sz w:val="18"/>
                <w:szCs w:val="18"/>
              </w:rPr>
            </w:pPr>
            <w:r w:rsidRPr="009B02A8">
              <w:rPr>
                <w:b/>
                <w:color w:val="000000" w:themeColor="text1"/>
                <w:sz w:val="18"/>
                <w:szCs w:val="18"/>
              </w:rPr>
              <w:t>Goals Section” of the standard specified in §170.205(a</w:t>
            </w:r>
            <w:proofErr w:type="gramStart"/>
            <w:r w:rsidRPr="009B02A8">
              <w:rPr>
                <w:b/>
                <w:color w:val="000000" w:themeColor="text1"/>
                <w:sz w:val="18"/>
                <w:szCs w:val="18"/>
              </w:rPr>
              <w:t>)(</w:t>
            </w:r>
            <w:proofErr w:type="gramEnd"/>
            <w:r w:rsidRPr="009B02A8">
              <w:rPr>
                <w:b/>
                <w:color w:val="000000" w:themeColor="text1"/>
                <w:sz w:val="18"/>
                <w:szCs w:val="18"/>
              </w:rPr>
              <w:t xml:space="preserve">4) for certification to the 2015 Edition health IT </w:t>
            </w:r>
            <w:r>
              <w:rPr>
                <w:b/>
                <w:color w:val="000000" w:themeColor="text1"/>
                <w:sz w:val="18"/>
                <w:szCs w:val="18"/>
              </w:rPr>
              <w:t>criteria.</w:t>
            </w:r>
          </w:p>
        </w:tc>
      </w:tr>
      <w:tr w:rsidR="009A345B" w:rsidRPr="0017610B" w:rsidTr="00793D12">
        <w:sdt>
          <w:sdtPr>
            <w:rPr>
              <w:sz w:val="18"/>
              <w:szCs w:val="18"/>
            </w:rPr>
            <w:id w:val="250942468"/>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sidRPr="009B02A8">
              <w:rPr>
                <w:color w:val="000000" w:themeColor="text1"/>
                <w:sz w:val="18"/>
                <w:szCs w:val="18"/>
              </w:rPr>
              <w:t>Health Concerns</w:t>
            </w:r>
          </w:p>
        </w:tc>
        <w:tc>
          <w:tcPr>
            <w:tcW w:w="3305" w:type="dxa"/>
          </w:tcPr>
          <w:p w:rsidR="009A345B" w:rsidRPr="009B02A8" w:rsidRDefault="009A345B" w:rsidP="00793D12">
            <w:pPr>
              <w:rPr>
                <w:b/>
                <w:color w:val="000000" w:themeColor="text1"/>
                <w:sz w:val="18"/>
                <w:szCs w:val="18"/>
              </w:rPr>
            </w:pPr>
            <w:r w:rsidRPr="009B02A8">
              <w:rPr>
                <w:b/>
                <w:color w:val="000000" w:themeColor="text1"/>
                <w:sz w:val="18"/>
                <w:szCs w:val="18"/>
              </w:rPr>
              <w:t>In accordance with the “Health Concerns Section” of the standard specified in § 170.205(a</w:t>
            </w:r>
            <w:proofErr w:type="gramStart"/>
            <w:r w:rsidRPr="009B02A8">
              <w:rPr>
                <w:b/>
                <w:color w:val="000000" w:themeColor="text1"/>
                <w:sz w:val="18"/>
                <w:szCs w:val="18"/>
              </w:rPr>
              <w:t>)(</w:t>
            </w:r>
            <w:proofErr w:type="gramEnd"/>
            <w:r w:rsidRPr="009B02A8">
              <w:rPr>
                <w:b/>
                <w:color w:val="000000" w:themeColor="text1"/>
                <w:sz w:val="18"/>
                <w:szCs w:val="18"/>
              </w:rPr>
              <w:t>4) for certification to the 2015 Edition health IT certification criteria.</w:t>
            </w:r>
          </w:p>
        </w:tc>
      </w:tr>
      <w:tr w:rsidR="009A345B" w:rsidRPr="009B02A8" w:rsidTr="00793D12">
        <w:tc>
          <w:tcPr>
            <w:tcW w:w="445" w:type="dxa"/>
            <w:shd w:val="clear" w:color="auto" w:fill="DBE5F1" w:themeFill="accent1" w:themeFillTint="33"/>
          </w:tcPr>
          <w:p w:rsidR="009A345B" w:rsidRPr="009B02A8" w:rsidRDefault="009A345B" w:rsidP="00793D12">
            <w:pPr>
              <w:rPr>
                <w:rFonts w:ascii="Leelawadee UI" w:hAnsi="Leelawadee UI" w:cs="Leelawadee UI"/>
                <w:b/>
                <w:sz w:val="18"/>
                <w:szCs w:val="18"/>
              </w:rPr>
            </w:pPr>
          </w:p>
        </w:tc>
        <w:tc>
          <w:tcPr>
            <w:tcW w:w="2044" w:type="dxa"/>
            <w:shd w:val="clear" w:color="auto" w:fill="DBE5F1" w:themeFill="accent1" w:themeFillTint="33"/>
          </w:tcPr>
          <w:p w:rsidR="009A345B" w:rsidRPr="009B02A8" w:rsidRDefault="009A345B" w:rsidP="00793D12">
            <w:pPr>
              <w:rPr>
                <w:rFonts w:ascii="Leelawadee UI" w:hAnsi="Leelawadee UI" w:cs="Leelawadee UI"/>
                <w:b/>
                <w:sz w:val="18"/>
                <w:szCs w:val="18"/>
              </w:rPr>
            </w:pPr>
            <w:r w:rsidRPr="009B02A8">
              <w:rPr>
                <w:rFonts w:ascii="Leelawadee UI" w:hAnsi="Leelawadee UI" w:cs="Leelawadee UI"/>
                <w:b/>
                <w:sz w:val="18"/>
                <w:szCs w:val="18"/>
              </w:rPr>
              <w:t>Test Data</w:t>
            </w:r>
          </w:p>
        </w:tc>
        <w:tc>
          <w:tcPr>
            <w:tcW w:w="2836" w:type="dxa"/>
            <w:shd w:val="clear" w:color="auto" w:fill="DBE5F1" w:themeFill="accent1" w:themeFillTint="33"/>
          </w:tcPr>
          <w:p w:rsidR="009A345B" w:rsidRPr="009B02A8" w:rsidRDefault="009A345B" w:rsidP="00793D12">
            <w:pPr>
              <w:rPr>
                <w:rFonts w:ascii="Leelawadee UI" w:hAnsi="Leelawadee UI" w:cs="Leelawadee UI"/>
                <w:b/>
                <w:sz w:val="18"/>
                <w:szCs w:val="18"/>
              </w:rPr>
            </w:pPr>
            <w:r>
              <w:rPr>
                <w:rFonts w:ascii="Leelawadee UI" w:hAnsi="Leelawadee UI" w:cs="Leelawadee UI"/>
                <w:b/>
                <w:sz w:val="18"/>
                <w:szCs w:val="18"/>
              </w:rPr>
              <w:t>Data Element</w:t>
            </w:r>
          </w:p>
        </w:tc>
        <w:tc>
          <w:tcPr>
            <w:tcW w:w="3305" w:type="dxa"/>
            <w:shd w:val="clear" w:color="auto" w:fill="DBE5F1" w:themeFill="accent1" w:themeFillTint="33"/>
          </w:tcPr>
          <w:p w:rsidR="009A345B" w:rsidRPr="009B02A8" w:rsidRDefault="009A345B" w:rsidP="00793D12">
            <w:pPr>
              <w:rPr>
                <w:rFonts w:ascii="Leelawadee UI" w:hAnsi="Leelawadee UI" w:cs="Leelawadee UI"/>
                <w:b/>
                <w:sz w:val="18"/>
                <w:szCs w:val="18"/>
              </w:rPr>
            </w:pPr>
            <w:r w:rsidRPr="009B02A8">
              <w:rPr>
                <w:rFonts w:ascii="Leelawadee UI" w:hAnsi="Leelawadee UI" w:cs="Leelawadee UI"/>
                <w:b/>
                <w:sz w:val="18"/>
                <w:szCs w:val="18"/>
              </w:rPr>
              <w:t xml:space="preserve">Standard </w:t>
            </w:r>
          </w:p>
        </w:tc>
      </w:tr>
      <w:tr w:rsidR="009A345B" w:rsidRPr="009B02A8" w:rsidTr="00793D12">
        <w:sdt>
          <w:sdtPr>
            <w:rPr>
              <w:sz w:val="18"/>
              <w:szCs w:val="18"/>
            </w:rPr>
            <w:id w:val="580569359"/>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Pr>
                <w:color w:val="000000" w:themeColor="text1"/>
                <w:sz w:val="18"/>
                <w:szCs w:val="18"/>
              </w:rPr>
              <w:t>Encounter diagnoses</w:t>
            </w:r>
          </w:p>
        </w:tc>
        <w:tc>
          <w:tcPr>
            <w:tcW w:w="3305" w:type="dxa"/>
          </w:tcPr>
          <w:p w:rsidR="009A345B" w:rsidRPr="009B02A8" w:rsidRDefault="009A345B" w:rsidP="00793D12">
            <w:pPr>
              <w:outlineLvl w:val="3"/>
              <w:rPr>
                <w:b/>
                <w:sz w:val="18"/>
                <w:szCs w:val="18"/>
              </w:rPr>
            </w:pPr>
            <w:r w:rsidRPr="009B02A8">
              <w:rPr>
                <w:b/>
                <w:sz w:val="18"/>
                <w:szCs w:val="18"/>
              </w:rPr>
              <w:t xml:space="preserve">§170.207 </w:t>
            </w:r>
            <w:r>
              <w:rPr>
                <w:b/>
                <w:sz w:val="18"/>
                <w:szCs w:val="18"/>
              </w:rPr>
              <w:t>(</w:t>
            </w:r>
            <w:proofErr w:type="spellStart"/>
            <w:r>
              <w:rPr>
                <w:b/>
                <w:sz w:val="18"/>
                <w:szCs w:val="18"/>
              </w:rPr>
              <w:t>i</w:t>
            </w:r>
            <w:proofErr w:type="spellEnd"/>
            <w:r>
              <w:rPr>
                <w:b/>
                <w:sz w:val="18"/>
                <w:szCs w:val="18"/>
              </w:rPr>
              <w:t xml:space="preserve">) or </w:t>
            </w:r>
            <w:r w:rsidRPr="009B02A8">
              <w:rPr>
                <w:b/>
                <w:sz w:val="18"/>
                <w:szCs w:val="18"/>
              </w:rPr>
              <w:t xml:space="preserve">§170.207 </w:t>
            </w:r>
            <w:r>
              <w:rPr>
                <w:b/>
                <w:sz w:val="18"/>
                <w:szCs w:val="18"/>
              </w:rPr>
              <w:t>(a)(4</w:t>
            </w:r>
            <w:r w:rsidRPr="009B02A8">
              <w:rPr>
                <w:b/>
                <w:sz w:val="18"/>
                <w:szCs w:val="18"/>
              </w:rPr>
              <w:t>)</w:t>
            </w:r>
          </w:p>
        </w:tc>
      </w:tr>
      <w:tr w:rsidR="009A345B" w:rsidRPr="009B02A8" w:rsidTr="00793D12">
        <w:sdt>
          <w:sdtPr>
            <w:rPr>
              <w:sz w:val="18"/>
              <w:szCs w:val="18"/>
            </w:rPr>
            <w:id w:val="-1256581259"/>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Pr>
                <w:color w:val="000000" w:themeColor="text1"/>
                <w:sz w:val="18"/>
                <w:szCs w:val="18"/>
              </w:rPr>
              <w:t>Cognitive Status</w:t>
            </w:r>
          </w:p>
        </w:tc>
        <w:tc>
          <w:tcPr>
            <w:tcW w:w="3305" w:type="dxa"/>
          </w:tcPr>
          <w:p w:rsidR="009A345B" w:rsidRPr="009B02A8" w:rsidRDefault="009A345B" w:rsidP="00793D12">
            <w:pPr>
              <w:outlineLvl w:val="3"/>
              <w:rPr>
                <w:b/>
                <w:color w:val="000000" w:themeColor="text1"/>
                <w:sz w:val="18"/>
                <w:szCs w:val="18"/>
              </w:rPr>
            </w:pPr>
            <w:r w:rsidRPr="007F3D6A">
              <w:rPr>
                <w:b/>
                <w:sz w:val="18"/>
                <w:szCs w:val="18"/>
              </w:rPr>
              <w:t>&lt;Not applicable&gt;</w:t>
            </w:r>
          </w:p>
        </w:tc>
      </w:tr>
      <w:tr w:rsidR="009A345B" w:rsidRPr="009B02A8" w:rsidTr="00793D12">
        <w:sdt>
          <w:sdtPr>
            <w:rPr>
              <w:sz w:val="18"/>
              <w:szCs w:val="18"/>
            </w:rPr>
            <w:id w:val="836034833"/>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Pr>
                <w:color w:val="000000" w:themeColor="text1"/>
                <w:sz w:val="18"/>
                <w:szCs w:val="18"/>
              </w:rPr>
              <w:t>Functional Status</w:t>
            </w:r>
            <w:r w:rsidRPr="009B02A8">
              <w:rPr>
                <w:color w:val="000000" w:themeColor="text1"/>
                <w:sz w:val="18"/>
                <w:szCs w:val="18"/>
              </w:rPr>
              <w:t xml:space="preserve"> </w:t>
            </w:r>
          </w:p>
        </w:tc>
        <w:tc>
          <w:tcPr>
            <w:tcW w:w="3305" w:type="dxa"/>
          </w:tcPr>
          <w:p w:rsidR="009A345B" w:rsidRPr="009B02A8" w:rsidRDefault="009A345B" w:rsidP="00793D12">
            <w:pPr>
              <w:outlineLvl w:val="3"/>
              <w:rPr>
                <w:b/>
                <w:sz w:val="18"/>
                <w:szCs w:val="18"/>
              </w:rPr>
            </w:pPr>
            <w:r w:rsidRPr="009B02A8">
              <w:rPr>
                <w:b/>
                <w:sz w:val="18"/>
                <w:szCs w:val="18"/>
              </w:rPr>
              <w:t>&lt;Not applicable&gt;</w:t>
            </w:r>
          </w:p>
        </w:tc>
      </w:tr>
      <w:tr w:rsidR="009A345B" w:rsidRPr="009B02A8" w:rsidTr="00793D12">
        <w:tc>
          <w:tcPr>
            <w:tcW w:w="8630" w:type="dxa"/>
            <w:gridSpan w:val="4"/>
          </w:tcPr>
          <w:p w:rsidR="009A345B" w:rsidRPr="000B19DE" w:rsidRDefault="009A345B" w:rsidP="00793D12">
            <w:pPr>
              <w:jc w:val="center"/>
              <w:outlineLvl w:val="3"/>
              <w:rPr>
                <w:rFonts w:ascii="Leelawadee" w:hAnsi="Leelawadee" w:cs="Leelawadee"/>
                <w:b/>
                <w:sz w:val="18"/>
                <w:szCs w:val="18"/>
              </w:rPr>
            </w:pPr>
            <w:r w:rsidRPr="000B19DE">
              <w:rPr>
                <w:rFonts w:ascii="Leelawadee" w:eastAsia="MS Gothic" w:hAnsi="Leelawadee" w:cs="Leelawadee"/>
                <w:b/>
                <w:sz w:val="18"/>
                <w:szCs w:val="18"/>
              </w:rPr>
              <w:t>AMBULATORY ONLY</w:t>
            </w:r>
          </w:p>
        </w:tc>
      </w:tr>
      <w:tr w:rsidR="009A345B" w:rsidRPr="009B02A8" w:rsidTr="00793D12">
        <w:tc>
          <w:tcPr>
            <w:tcW w:w="445" w:type="dxa"/>
            <w:shd w:val="clear" w:color="auto" w:fill="DBE5F1" w:themeFill="accent1" w:themeFillTint="33"/>
          </w:tcPr>
          <w:p w:rsidR="009A345B" w:rsidRPr="009B02A8" w:rsidRDefault="009A345B" w:rsidP="00793D12">
            <w:pPr>
              <w:rPr>
                <w:rFonts w:ascii="Leelawadee UI" w:hAnsi="Leelawadee UI" w:cs="Leelawadee UI"/>
                <w:b/>
                <w:sz w:val="18"/>
                <w:szCs w:val="18"/>
              </w:rPr>
            </w:pPr>
          </w:p>
        </w:tc>
        <w:tc>
          <w:tcPr>
            <w:tcW w:w="2044" w:type="dxa"/>
            <w:shd w:val="clear" w:color="auto" w:fill="DBE5F1" w:themeFill="accent1" w:themeFillTint="33"/>
          </w:tcPr>
          <w:p w:rsidR="009A345B" w:rsidRPr="009B02A8" w:rsidRDefault="009A345B" w:rsidP="00793D12">
            <w:pPr>
              <w:rPr>
                <w:rFonts w:ascii="Leelawadee UI" w:hAnsi="Leelawadee UI" w:cs="Leelawadee UI"/>
                <w:b/>
                <w:sz w:val="18"/>
                <w:szCs w:val="18"/>
              </w:rPr>
            </w:pPr>
            <w:r w:rsidRPr="009B02A8">
              <w:rPr>
                <w:rFonts w:ascii="Leelawadee UI" w:hAnsi="Leelawadee UI" w:cs="Leelawadee UI"/>
                <w:b/>
                <w:sz w:val="18"/>
                <w:szCs w:val="18"/>
              </w:rPr>
              <w:t>Test Data</w:t>
            </w:r>
          </w:p>
        </w:tc>
        <w:tc>
          <w:tcPr>
            <w:tcW w:w="2836" w:type="dxa"/>
            <w:shd w:val="clear" w:color="auto" w:fill="DBE5F1" w:themeFill="accent1" w:themeFillTint="33"/>
          </w:tcPr>
          <w:p w:rsidR="009A345B" w:rsidRPr="009B02A8" w:rsidRDefault="009A345B" w:rsidP="00793D12">
            <w:pPr>
              <w:rPr>
                <w:rFonts w:ascii="Leelawadee UI" w:hAnsi="Leelawadee UI" w:cs="Leelawadee UI"/>
                <w:b/>
                <w:sz w:val="18"/>
                <w:szCs w:val="18"/>
              </w:rPr>
            </w:pPr>
            <w:r>
              <w:rPr>
                <w:rFonts w:ascii="Leelawadee UI" w:hAnsi="Leelawadee UI" w:cs="Leelawadee UI"/>
                <w:b/>
                <w:sz w:val="18"/>
                <w:szCs w:val="18"/>
              </w:rPr>
              <w:t>Data Element</w:t>
            </w:r>
          </w:p>
        </w:tc>
        <w:tc>
          <w:tcPr>
            <w:tcW w:w="3305" w:type="dxa"/>
            <w:shd w:val="clear" w:color="auto" w:fill="DBE5F1" w:themeFill="accent1" w:themeFillTint="33"/>
          </w:tcPr>
          <w:p w:rsidR="009A345B" w:rsidRPr="009B02A8" w:rsidRDefault="009A345B" w:rsidP="00793D12">
            <w:pPr>
              <w:rPr>
                <w:rFonts w:ascii="Leelawadee UI" w:hAnsi="Leelawadee UI" w:cs="Leelawadee UI"/>
                <w:b/>
                <w:sz w:val="18"/>
                <w:szCs w:val="18"/>
              </w:rPr>
            </w:pPr>
            <w:r w:rsidRPr="009B02A8">
              <w:rPr>
                <w:rFonts w:ascii="Leelawadee UI" w:hAnsi="Leelawadee UI" w:cs="Leelawadee UI"/>
                <w:b/>
                <w:sz w:val="18"/>
                <w:szCs w:val="18"/>
              </w:rPr>
              <w:t xml:space="preserve">Standard </w:t>
            </w:r>
          </w:p>
        </w:tc>
      </w:tr>
      <w:tr w:rsidR="009A345B" w:rsidRPr="009B02A8" w:rsidTr="00793D12">
        <w:sdt>
          <w:sdtPr>
            <w:rPr>
              <w:sz w:val="18"/>
              <w:szCs w:val="18"/>
            </w:rPr>
            <w:id w:val="-1061561992"/>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Pr>
                <w:color w:val="000000" w:themeColor="text1"/>
                <w:sz w:val="18"/>
                <w:szCs w:val="18"/>
              </w:rPr>
              <w:t>Reason for referral</w:t>
            </w:r>
          </w:p>
        </w:tc>
        <w:tc>
          <w:tcPr>
            <w:tcW w:w="3305" w:type="dxa"/>
          </w:tcPr>
          <w:p w:rsidR="009A345B" w:rsidRPr="009B02A8" w:rsidRDefault="009A345B" w:rsidP="00793D12">
            <w:pPr>
              <w:outlineLvl w:val="3"/>
              <w:rPr>
                <w:b/>
                <w:sz w:val="18"/>
                <w:szCs w:val="18"/>
              </w:rPr>
            </w:pPr>
            <w:r w:rsidRPr="000B19DE">
              <w:rPr>
                <w:b/>
                <w:sz w:val="18"/>
                <w:szCs w:val="18"/>
              </w:rPr>
              <w:t>&lt;Not applicable&gt;</w:t>
            </w:r>
          </w:p>
        </w:tc>
      </w:tr>
      <w:tr w:rsidR="009A345B" w:rsidRPr="009B02A8" w:rsidTr="00793D12">
        <w:sdt>
          <w:sdtPr>
            <w:rPr>
              <w:sz w:val="18"/>
              <w:szCs w:val="18"/>
            </w:rPr>
            <w:id w:val="758413738"/>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Pr>
                <w:color w:val="000000" w:themeColor="text1"/>
                <w:sz w:val="18"/>
                <w:szCs w:val="18"/>
              </w:rPr>
              <w:t>Referring or transitioning provider’s name and office contact information</w:t>
            </w:r>
          </w:p>
        </w:tc>
        <w:tc>
          <w:tcPr>
            <w:tcW w:w="3305" w:type="dxa"/>
          </w:tcPr>
          <w:p w:rsidR="009A345B" w:rsidRPr="009B02A8" w:rsidRDefault="009A345B" w:rsidP="00793D12">
            <w:pPr>
              <w:outlineLvl w:val="3"/>
              <w:rPr>
                <w:b/>
                <w:color w:val="000000" w:themeColor="text1"/>
                <w:sz w:val="18"/>
                <w:szCs w:val="18"/>
              </w:rPr>
            </w:pPr>
            <w:r w:rsidRPr="007F3D6A">
              <w:rPr>
                <w:b/>
                <w:sz w:val="18"/>
                <w:szCs w:val="18"/>
              </w:rPr>
              <w:t>&lt;Not applicable&gt;</w:t>
            </w:r>
          </w:p>
        </w:tc>
      </w:tr>
      <w:tr w:rsidR="009A345B" w:rsidRPr="000B19DE" w:rsidTr="00793D12">
        <w:tc>
          <w:tcPr>
            <w:tcW w:w="8630" w:type="dxa"/>
            <w:gridSpan w:val="4"/>
          </w:tcPr>
          <w:p w:rsidR="009A345B" w:rsidRPr="000B19DE" w:rsidRDefault="009A345B" w:rsidP="00793D12">
            <w:pPr>
              <w:jc w:val="center"/>
              <w:outlineLvl w:val="3"/>
              <w:rPr>
                <w:rFonts w:ascii="Leelawadee" w:hAnsi="Leelawadee" w:cs="Leelawadee"/>
                <w:b/>
                <w:sz w:val="18"/>
                <w:szCs w:val="18"/>
              </w:rPr>
            </w:pPr>
            <w:r>
              <w:rPr>
                <w:rFonts w:ascii="Leelawadee" w:eastAsia="MS Gothic" w:hAnsi="Leelawadee" w:cs="Leelawadee"/>
                <w:b/>
                <w:sz w:val="18"/>
                <w:szCs w:val="18"/>
              </w:rPr>
              <w:t>INPATIENT</w:t>
            </w:r>
            <w:r w:rsidRPr="000B19DE">
              <w:rPr>
                <w:rFonts w:ascii="Leelawadee" w:eastAsia="MS Gothic" w:hAnsi="Leelawadee" w:cs="Leelawadee"/>
                <w:b/>
                <w:sz w:val="18"/>
                <w:szCs w:val="18"/>
              </w:rPr>
              <w:t xml:space="preserve"> ONLY</w:t>
            </w:r>
          </w:p>
        </w:tc>
      </w:tr>
      <w:tr w:rsidR="009A345B" w:rsidRPr="009B02A8" w:rsidTr="00793D12">
        <w:tc>
          <w:tcPr>
            <w:tcW w:w="445" w:type="dxa"/>
            <w:shd w:val="clear" w:color="auto" w:fill="DBE5F1" w:themeFill="accent1" w:themeFillTint="33"/>
          </w:tcPr>
          <w:p w:rsidR="009A345B" w:rsidRPr="009B02A8" w:rsidRDefault="009A345B" w:rsidP="00793D12">
            <w:pPr>
              <w:rPr>
                <w:rFonts w:ascii="Leelawadee UI" w:hAnsi="Leelawadee UI" w:cs="Leelawadee UI"/>
                <w:b/>
                <w:sz w:val="18"/>
                <w:szCs w:val="18"/>
              </w:rPr>
            </w:pPr>
          </w:p>
        </w:tc>
        <w:tc>
          <w:tcPr>
            <w:tcW w:w="2044" w:type="dxa"/>
            <w:shd w:val="clear" w:color="auto" w:fill="DBE5F1" w:themeFill="accent1" w:themeFillTint="33"/>
          </w:tcPr>
          <w:p w:rsidR="009A345B" w:rsidRPr="009B02A8" w:rsidRDefault="009A345B" w:rsidP="00793D12">
            <w:pPr>
              <w:rPr>
                <w:rFonts w:ascii="Leelawadee UI" w:hAnsi="Leelawadee UI" w:cs="Leelawadee UI"/>
                <w:b/>
                <w:sz w:val="18"/>
                <w:szCs w:val="18"/>
              </w:rPr>
            </w:pPr>
            <w:r w:rsidRPr="009B02A8">
              <w:rPr>
                <w:rFonts w:ascii="Leelawadee UI" w:hAnsi="Leelawadee UI" w:cs="Leelawadee UI"/>
                <w:b/>
                <w:sz w:val="18"/>
                <w:szCs w:val="18"/>
              </w:rPr>
              <w:t>Test Data</w:t>
            </w:r>
          </w:p>
        </w:tc>
        <w:tc>
          <w:tcPr>
            <w:tcW w:w="2836" w:type="dxa"/>
            <w:shd w:val="clear" w:color="auto" w:fill="DBE5F1" w:themeFill="accent1" w:themeFillTint="33"/>
          </w:tcPr>
          <w:p w:rsidR="009A345B" w:rsidRPr="009B02A8" w:rsidRDefault="009A345B" w:rsidP="00793D12">
            <w:pPr>
              <w:rPr>
                <w:rFonts w:ascii="Leelawadee UI" w:hAnsi="Leelawadee UI" w:cs="Leelawadee UI"/>
                <w:b/>
                <w:sz w:val="18"/>
                <w:szCs w:val="18"/>
              </w:rPr>
            </w:pPr>
            <w:r>
              <w:rPr>
                <w:rFonts w:ascii="Leelawadee UI" w:hAnsi="Leelawadee UI" w:cs="Leelawadee UI"/>
                <w:b/>
                <w:sz w:val="18"/>
                <w:szCs w:val="18"/>
              </w:rPr>
              <w:t>Data Element</w:t>
            </w:r>
          </w:p>
        </w:tc>
        <w:tc>
          <w:tcPr>
            <w:tcW w:w="3305" w:type="dxa"/>
            <w:shd w:val="clear" w:color="auto" w:fill="DBE5F1" w:themeFill="accent1" w:themeFillTint="33"/>
          </w:tcPr>
          <w:p w:rsidR="009A345B" w:rsidRPr="009B02A8" w:rsidRDefault="009A345B" w:rsidP="00793D12">
            <w:pPr>
              <w:rPr>
                <w:rFonts w:ascii="Leelawadee UI" w:hAnsi="Leelawadee UI" w:cs="Leelawadee UI"/>
                <w:b/>
                <w:sz w:val="18"/>
                <w:szCs w:val="18"/>
              </w:rPr>
            </w:pPr>
            <w:r w:rsidRPr="009B02A8">
              <w:rPr>
                <w:rFonts w:ascii="Leelawadee UI" w:hAnsi="Leelawadee UI" w:cs="Leelawadee UI"/>
                <w:b/>
                <w:sz w:val="18"/>
                <w:szCs w:val="18"/>
              </w:rPr>
              <w:t xml:space="preserve">Standard </w:t>
            </w:r>
          </w:p>
        </w:tc>
      </w:tr>
      <w:tr w:rsidR="009A345B" w:rsidRPr="009B02A8" w:rsidTr="00793D12">
        <w:sdt>
          <w:sdtPr>
            <w:rPr>
              <w:sz w:val="18"/>
              <w:szCs w:val="18"/>
            </w:rPr>
            <w:id w:val="-763291113"/>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Pr>
                <w:color w:val="000000" w:themeColor="text1"/>
                <w:sz w:val="18"/>
                <w:szCs w:val="18"/>
              </w:rPr>
              <w:t>Discharge Instructions</w:t>
            </w:r>
            <w:r w:rsidRPr="009B02A8">
              <w:rPr>
                <w:color w:val="000000" w:themeColor="text1"/>
                <w:sz w:val="18"/>
                <w:szCs w:val="18"/>
              </w:rPr>
              <w:t xml:space="preserve"> </w:t>
            </w:r>
          </w:p>
        </w:tc>
        <w:tc>
          <w:tcPr>
            <w:tcW w:w="3305" w:type="dxa"/>
          </w:tcPr>
          <w:p w:rsidR="009A345B" w:rsidRPr="009B02A8" w:rsidRDefault="009A345B" w:rsidP="00793D12">
            <w:pPr>
              <w:outlineLvl w:val="3"/>
              <w:rPr>
                <w:b/>
                <w:sz w:val="18"/>
                <w:szCs w:val="18"/>
              </w:rPr>
            </w:pPr>
            <w:r w:rsidRPr="009B02A8">
              <w:rPr>
                <w:b/>
                <w:sz w:val="18"/>
                <w:szCs w:val="18"/>
              </w:rPr>
              <w:t>&lt;Not applicable&gt;</w:t>
            </w:r>
          </w:p>
        </w:tc>
      </w:tr>
      <w:tr w:rsidR="009A345B" w:rsidRPr="009B02A8" w:rsidTr="00793D12">
        <w:sdt>
          <w:sdtPr>
            <w:rPr>
              <w:sz w:val="18"/>
              <w:szCs w:val="18"/>
            </w:rPr>
            <w:id w:val="515036444"/>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Pr>
                <w:color w:val="000000" w:themeColor="text1"/>
                <w:sz w:val="18"/>
                <w:szCs w:val="18"/>
              </w:rPr>
              <w:t>Patient matching</w:t>
            </w:r>
          </w:p>
        </w:tc>
        <w:tc>
          <w:tcPr>
            <w:tcW w:w="3305" w:type="dxa"/>
          </w:tcPr>
          <w:p w:rsidR="009A345B" w:rsidRPr="009B02A8" w:rsidRDefault="009A345B" w:rsidP="00793D12">
            <w:pPr>
              <w:outlineLvl w:val="3"/>
              <w:rPr>
                <w:b/>
                <w:sz w:val="18"/>
                <w:szCs w:val="18"/>
              </w:rPr>
            </w:pPr>
            <w:r>
              <w:rPr>
                <w:b/>
                <w:sz w:val="18"/>
                <w:szCs w:val="18"/>
              </w:rPr>
              <w:t>§170.207</w:t>
            </w:r>
            <w:r w:rsidRPr="009B02A8">
              <w:rPr>
                <w:b/>
                <w:sz w:val="18"/>
                <w:szCs w:val="18"/>
              </w:rPr>
              <w:t xml:space="preserve">(f)(1) </w:t>
            </w:r>
            <w:r>
              <w:rPr>
                <w:b/>
                <w:sz w:val="18"/>
                <w:szCs w:val="18"/>
              </w:rPr>
              <w:t>m</w:t>
            </w:r>
            <w:r w:rsidRPr="009B02A8">
              <w:rPr>
                <w:sz w:val="18"/>
                <w:szCs w:val="18"/>
              </w:rPr>
              <w:t xml:space="preserve">apped to </w:t>
            </w:r>
            <w:r w:rsidRPr="009B02A8">
              <w:rPr>
                <w:b/>
                <w:sz w:val="18"/>
                <w:szCs w:val="18"/>
              </w:rPr>
              <w:t>§170.207(f)(2)</w:t>
            </w:r>
            <w:r>
              <w:rPr>
                <w:b/>
                <w:sz w:val="18"/>
                <w:szCs w:val="18"/>
              </w:rPr>
              <w:t>;</w:t>
            </w:r>
          </w:p>
          <w:p w:rsidR="009A345B" w:rsidRPr="009B02A8" w:rsidRDefault="009A345B" w:rsidP="00793D12">
            <w:pPr>
              <w:outlineLvl w:val="3"/>
              <w:rPr>
                <w:b/>
                <w:color w:val="000000" w:themeColor="text1"/>
                <w:sz w:val="18"/>
                <w:szCs w:val="18"/>
              </w:rPr>
            </w:pPr>
            <w:r w:rsidRPr="009B02A8">
              <w:rPr>
                <w:b/>
                <w:sz w:val="18"/>
                <w:szCs w:val="18"/>
              </w:rPr>
              <w:t xml:space="preserve">§170.207 (f)(2) </w:t>
            </w:r>
          </w:p>
        </w:tc>
      </w:tr>
      <w:tr w:rsidR="009A345B" w:rsidRPr="000B19DE" w:rsidTr="00793D12">
        <w:tc>
          <w:tcPr>
            <w:tcW w:w="8630" w:type="dxa"/>
            <w:gridSpan w:val="4"/>
          </w:tcPr>
          <w:p w:rsidR="009A345B" w:rsidRPr="000B19DE" w:rsidRDefault="009A345B" w:rsidP="00793D12">
            <w:pPr>
              <w:jc w:val="center"/>
              <w:outlineLvl w:val="3"/>
              <w:rPr>
                <w:rFonts w:ascii="Leelawadee" w:hAnsi="Leelawadee" w:cs="Leelawadee"/>
                <w:b/>
                <w:sz w:val="18"/>
                <w:szCs w:val="18"/>
              </w:rPr>
            </w:pPr>
            <w:r>
              <w:rPr>
                <w:rFonts w:ascii="Leelawadee" w:eastAsia="MS Gothic" w:hAnsi="Leelawadee" w:cs="Leelawadee"/>
                <w:b/>
                <w:sz w:val="18"/>
                <w:szCs w:val="18"/>
              </w:rPr>
              <w:t>PATIENT MATCHING</w:t>
            </w:r>
          </w:p>
        </w:tc>
      </w:tr>
      <w:tr w:rsidR="009A345B" w:rsidRPr="009B02A8" w:rsidTr="00793D12">
        <w:tc>
          <w:tcPr>
            <w:tcW w:w="445" w:type="dxa"/>
            <w:shd w:val="clear" w:color="auto" w:fill="DBE5F1" w:themeFill="accent1" w:themeFillTint="33"/>
          </w:tcPr>
          <w:p w:rsidR="009A345B" w:rsidRPr="009B02A8" w:rsidRDefault="009A345B" w:rsidP="00793D12">
            <w:pPr>
              <w:rPr>
                <w:rFonts w:ascii="Leelawadee UI" w:hAnsi="Leelawadee UI" w:cs="Leelawadee UI"/>
                <w:b/>
                <w:sz w:val="18"/>
                <w:szCs w:val="18"/>
              </w:rPr>
            </w:pPr>
          </w:p>
        </w:tc>
        <w:tc>
          <w:tcPr>
            <w:tcW w:w="2044" w:type="dxa"/>
            <w:shd w:val="clear" w:color="auto" w:fill="DBE5F1" w:themeFill="accent1" w:themeFillTint="33"/>
          </w:tcPr>
          <w:p w:rsidR="009A345B" w:rsidRPr="009B02A8" w:rsidRDefault="009A345B" w:rsidP="00793D12">
            <w:pPr>
              <w:rPr>
                <w:rFonts w:ascii="Leelawadee UI" w:hAnsi="Leelawadee UI" w:cs="Leelawadee UI"/>
                <w:b/>
                <w:sz w:val="18"/>
                <w:szCs w:val="18"/>
              </w:rPr>
            </w:pPr>
            <w:r w:rsidRPr="009B02A8">
              <w:rPr>
                <w:rFonts w:ascii="Leelawadee UI" w:hAnsi="Leelawadee UI" w:cs="Leelawadee UI"/>
                <w:b/>
                <w:sz w:val="18"/>
                <w:szCs w:val="18"/>
              </w:rPr>
              <w:t>Test Data</w:t>
            </w:r>
          </w:p>
        </w:tc>
        <w:tc>
          <w:tcPr>
            <w:tcW w:w="2836" w:type="dxa"/>
            <w:shd w:val="clear" w:color="auto" w:fill="DBE5F1" w:themeFill="accent1" w:themeFillTint="33"/>
          </w:tcPr>
          <w:p w:rsidR="009A345B" w:rsidRPr="009B02A8" w:rsidRDefault="009A345B" w:rsidP="00793D12">
            <w:pPr>
              <w:rPr>
                <w:rFonts w:ascii="Leelawadee UI" w:hAnsi="Leelawadee UI" w:cs="Leelawadee UI"/>
                <w:b/>
                <w:sz w:val="18"/>
                <w:szCs w:val="18"/>
              </w:rPr>
            </w:pPr>
            <w:r>
              <w:rPr>
                <w:rFonts w:ascii="Leelawadee UI" w:hAnsi="Leelawadee UI" w:cs="Leelawadee UI"/>
                <w:b/>
                <w:sz w:val="18"/>
                <w:szCs w:val="18"/>
              </w:rPr>
              <w:t>Data Element</w:t>
            </w:r>
          </w:p>
        </w:tc>
        <w:tc>
          <w:tcPr>
            <w:tcW w:w="3305" w:type="dxa"/>
            <w:shd w:val="clear" w:color="auto" w:fill="DBE5F1" w:themeFill="accent1" w:themeFillTint="33"/>
          </w:tcPr>
          <w:p w:rsidR="009A345B" w:rsidRPr="009B02A8" w:rsidRDefault="009A345B" w:rsidP="00793D12">
            <w:pPr>
              <w:rPr>
                <w:rFonts w:ascii="Leelawadee UI" w:hAnsi="Leelawadee UI" w:cs="Leelawadee UI"/>
                <w:b/>
                <w:sz w:val="18"/>
                <w:szCs w:val="18"/>
              </w:rPr>
            </w:pPr>
            <w:r w:rsidRPr="009B02A8">
              <w:rPr>
                <w:rFonts w:ascii="Leelawadee UI" w:hAnsi="Leelawadee UI" w:cs="Leelawadee UI"/>
                <w:b/>
                <w:sz w:val="18"/>
                <w:szCs w:val="18"/>
              </w:rPr>
              <w:t xml:space="preserve">Standard </w:t>
            </w:r>
          </w:p>
        </w:tc>
      </w:tr>
      <w:tr w:rsidR="009A345B" w:rsidRPr="009B02A8" w:rsidTr="00793D12">
        <w:sdt>
          <w:sdtPr>
            <w:rPr>
              <w:sz w:val="18"/>
              <w:szCs w:val="18"/>
            </w:rPr>
            <w:id w:val="185799324"/>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Pr>
                <w:color w:val="000000" w:themeColor="text1"/>
                <w:sz w:val="18"/>
                <w:szCs w:val="18"/>
              </w:rPr>
              <w:t>First name</w:t>
            </w:r>
          </w:p>
        </w:tc>
        <w:tc>
          <w:tcPr>
            <w:tcW w:w="3305" w:type="dxa"/>
          </w:tcPr>
          <w:p w:rsidR="009A345B" w:rsidRPr="009B02A8" w:rsidRDefault="009A345B" w:rsidP="00793D12">
            <w:pPr>
              <w:outlineLvl w:val="3"/>
              <w:rPr>
                <w:b/>
                <w:color w:val="000000" w:themeColor="text1"/>
                <w:sz w:val="18"/>
                <w:szCs w:val="18"/>
              </w:rPr>
            </w:pPr>
          </w:p>
        </w:tc>
      </w:tr>
      <w:tr w:rsidR="009A345B" w:rsidRPr="009B02A8" w:rsidTr="00793D12">
        <w:sdt>
          <w:sdtPr>
            <w:rPr>
              <w:sz w:val="18"/>
              <w:szCs w:val="18"/>
            </w:rPr>
            <w:id w:val="1114551846"/>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Pr>
                <w:color w:val="000000" w:themeColor="text1"/>
                <w:sz w:val="18"/>
                <w:szCs w:val="18"/>
              </w:rPr>
              <w:t>Last name</w:t>
            </w:r>
          </w:p>
        </w:tc>
        <w:tc>
          <w:tcPr>
            <w:tcW w:w="3305" w:type="dxa"/>
          </w:tcPr>
          <w:p w:rsidR="009A345B" w:rsidRPr="009B02A8" w:rsidRDefault="009A345B" w:rsidP="00793D12">
            <w:pPr>
              <w:rPr>
                <w:b/>
                <w:color w:val="000000" w:themeColor="text1"/>
                <w:sz w:val="18"/>
                <w:szCs w:val="18"/>
              </w:rPr>
            </w:pPr>
          </w:p>
        </w:tc>
      </w:tr>
      <w:tr w:rsidR="009A345B" w:rsidRPr="009B02A8" w:rsidTr="00793D12">
        <w:sdt>
          <w:sdtPr>
            <w:rPr>
              <w:sz w:val="18"/>
              <w:szCs w:val="18"/>
            </w:rPr>
            <w:id w:val="965538977"/>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Pr>
                <w:color w:val="000000" w:themeColor="text1"/>
                <w:sz w:val="18"/>
                <w:szCs w:val="18"/>
              </w:rPr>
              <w:t>Previous name</w:t>
            </w:r>
          </w:p>
        </w:tc>
        <w:tc>
          <w:tcPr>
            <w:tcW w:w="3305" w:type="dxa"/>
          </w:tcPr>
          <w:p w:rsidR="009A345B" w:rsidRPr="009B02A8" w:rsidRDefault="009A345B" w:rsidP="00793D12">
            <w:pPr>
              <w:outlineLvl w:val="3"/>
              <w:rPr>
                <w:b/>
                <w:sz w:val="18"/>
                <w:szCs w:val="18"/>
              </w:rPr>
            </w:pPr>
          </w:p>
        </w:tc>
      </w:tr>
      <w:tr w:rsidR="009A345B" w:rsidRPr="009B02A8" w:rsidTr="00793D12">
        <w:sdt>
          <w:sdtPr>
            <w:rPr>
              <w:sz w:val="18"/>
              <w:szCs w:val="18"/>
            </w:rPr>
            <w:id w:val="654266968"/>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Pr>
                <w:color w:val="000000" w:themeColor="text1"/>
                <w:sz w:val="18"/>
                <w:szCs w:val="18"/>
              </w:rPr>
              <w:t>Middle name (including middle initial)</w:t>
            </w:r>
          </w:p>
        </w:tc>
        <w:tc>
          <w:tcPr>
            <w:tcW w:w="3305" w:type="dxa"/>
          </w:tcPr>
          <w:p w:rsidR="009A345B" w:rsidRPr="009B02A8" w:rsidRDefault="009A345B" w:rsidP="00793D12">
            <w:pPr>
              <w:outlineLvl w:val="3"/>
              <w:rPr>
                <w:b/>
                <w:color w:val="000000" w:themeColor="text1"/>
                <w:sz w:val="18"/>
                <w:szCs w:val="18"/>
              </w:rPr>
            </w:pPr>
          </w:p>
        </w:tc>
      </w:tr>
      <w:tr w:rsidR="009A345B" w:rsidRPr="009B02A8" w:rsidTr="00793D12">
        <w:sdt>
          <w:sdtPr>
            <w:rPr>
              <w:sz w:val="18"/>
              <w:szCs w:val="18"/>
            </w:rPr>
            <w:id w:val="1320620491"/>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Pr>
                <w:color w:val="000000" w:themeColor="text1"/>
                <w:sz w:val="18"/>
                <w:szCs w:val="18"/>
              </w:rPr>
              <w:t>Suffix</w:t>
            </w:r>
          </w:p>
        </w:tc>
        <w:tc>
          <w:tcPr>
            <w:tcW w:w="3305" w:type="dxa"/>
          </w:tcPr>
          <w:p w:rsidR="009A345B" w:rsidRPr="009B02A8" w:rsidRDefault="009A345B" w:rsidP="00793D12">
            <w:pPr>
              <w:rPr>
                <w:b/>
                <w:color w:val="000000" w:themeColor="text1"/>
                <w:sz w:val="18"/>
                <w:szCs w:val="18"/>
              </w:rPr>
            </w:pPr>
          </w:p>
        </w:tc>
      </w:tr>
      <w:tr w:rsidR="009A345B" w:rsidRPr="009B02A8" w:rsidTr="00793D12">
        <w:sdt>
          <w:sdtPr>
            <w:rPr>
              <w:sz w:val="18"/>
              <w:szCs w:val="18"/>
            </w:rPr>
            <w:id w:val="-240250086"/>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Pr>
                <w:color w:val="000000" w:themeColor="text1"/>
                <w:sz w:val="18"/>
                <w:szCs w:val="18"/>
              </w:rPr>
              <w:t>Date of birth</w:t>
            </w:r>
          </w:p>
        </w:tc>
        <w:tc>
          <w:tcPr>
            <w:tcW w:w="3305" w:type="dxa"/>
          </w:tcPr>
          <w:p w:rsidR="009A345B" w:rsidRPr="00BF6B3C" w:rsidRDefault="009A345B" w:rsidP="00793D12">
            <w:pPr>
              <w:outlineLvl w:val="3"/>
              <w:rPr>
                <w:b/>
                <w:sz w:val="18"/>
                <w:szCs w:val="18"/>
              </w:rPr>
            </w:pPr>
            <w:r w:rsidRPr="00BF6B3C">
              <w:rPr>
                <w:b/>
                <w:sz w:val="18"/>
                <w:szCs w:val="18"/>
              </w:rPr>
              <w:t>(</w:t>
            </w:r>
            <w:proofErr w:type="spellStart"/>
            <w:r w:rsidRPr="00BF6B3C">
              <w:rPr>
                <w:b/>
                <w:sz w:val="18"/>
                <w:szCs w:val="18"/>
              </w:rPr>
              <w:t>i</w:t>
            </w:r>
            <w:proofErr w:type="spellEnd"/>
            <w:r w:rsidRPr="00BF6B3C">
              <w:rPr>
                <w:b/>
                <w:sz w:val="18"/>
                <w:szCs w:val="18"/>
              </w:rPr>
              <w:t xml:space="preserve">)The year, month and day of birth must be present for a date of birth The technology must include a null value </w:t>
            </w:r>
          </w:p>
          <w:p w:rsidR="009A345B" w:rsidRPr="00BF6B3C" w:rsidRDefault="009A345B" w:rsidP="00793D12">
            <w:pPr>
              <w:outlineLvl w:val="3"/>
              <w:rPr>
                <w:b/>
                <w:sz w:val="18"/>
                <w:szCs w:val="18"/>
              </w:rPr>
            </w:pPr>
            <w:proofErr w:type="gramStart"/>
            <w:r w:rsidRPr="00BF6B3C">
              <w:rPr>
                <w:b/>
                <w:sz w:val="18"/>
                <w:szCs w:val="18"/>
              </w:rPr>
              <w:t>when</w:t>
            </w:r>
            <w:proofErr w:type="gramEnd"/>
            <w:r w:rsidRPr="00BF6B3C">
              <w:rPr>
                <w:b/>
                <w:sz w:val="18"/>
                <w:szCs w:val="18"/>
              </w:rPr>
              <w:t xml:space="preserve"> the date of birth is unknown. </w:t>
            </w:r>
          </w:p>
          <w:p w:rsidR="009A345B" w:rsidRPr="00BF6B3C" w:rsidRDefault="009A345B" w:rsidP="00793D12">
            <w:pPr>
              <w:outlineLvl w:val="3"/>
              <w:rPr>
                <w:b/>
                <w:sz w:val="18"/>
                <w:szCs w:val="18"/>
              </w:rPr>
            </w:pPr>
            <w:r w:rsidRPr="00BF6B3C">
              <w:rPr>
                <w:b/>
                <w:sz w:val="18"/>
                <w:szCs w:val="18"/>
              </w:rPr>
              <w:t>(</w:t>
            </w:r>
            <w:proofErr w:type="spellStart"/>
            <w:r w:rsidRPr="00BF6B3C">
              <w:rPr>
                <w:b/>
                <w:sz w:val="18"/>
                <w:szCs w:val="18"/>
              </w:rPr>
              <w:t>i</w:t>
            </w:r>
            <w:proofErr w:type="spellEnd"/>
            <w:r w:rsidRPr="00BF6B3C">
              <w:rPr>
                <w:b/>
                <w:sz w:val="18"/>
                <w:szCs w:val="18"/>
              </w:rPr>
              <w:t xml:space="preserve">) Optional: When the hour, minute and second are associated with a date of birth the technology must demonstrate that the correct </w:t>
            </w:r>
          </w:p>
          <w:p w:rsidR="009A345B" w:rsidRPr="009B02A8" w:rsidRDefault="009A345B" w:rsidP="00793D12">
            <w:pPr>
              <w:outlineLvl w:val="3"/>
              <w:rPr>
                <w:b/>
                <w:sz w:val="18"/>
                <w:szCs w:val="18"/>
              </w:rPr>
            </w:pPr>
            <w:proofErr w:type="gramStart"/>
            <w:r w:rsidRPr="00BF6B3C">
              <w:rPr>
                <w:b/>
                <w:sz w:val="18"/>
                <w:szCs w:val="18"/>
              </w:rPr>
              <w:t>time</w:t>
            </w:r>
            <w:proofErr w:type="gramEnd"/>
            <w:r w:rsidRPr="00BF6B3C">
              <w:rPr>
                <w:b/>
                <w:sz w:val="18"/>
                <w:szCs w:val="18"/>
              </w:rPr>
              <w:t xml:space="preserve"> zone offset is included.</w:t>
            </w:r>
          </w:p>
        </w:tc>
      </w:tr>
      <w:tr w:rsidR="009A345B" w:rsidRPr="009B02A8" w:rsidTr="00793D12">
        <w:sdt>
          <w:sdtPr>
            <w:rPr>
              <w:sz w:val="18"/>
              <w:szCs w:val="18"/>
            </w:rPr>
            <w:id w:val="390621401"/>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Pr>
                <w:color w:val="000000" w:themeColor="text1"/>
                <w:sz w:val="18"/>
                <w:szCs w:val="18"/>
              </w:rPr>
              <w:t>Address</w:t>
            </w:r>
          </w:p>
        </w:tc>
        <w:tc>
          <w:tcPr>
            <w:tcW w:w="3305" w:type="dxa"/>
          </w:tcPr>
          <w:p w:rsidR="009A345B" w:rsidRPr="009B02A8" w:rsidRDefault="009A345B" w:rsidP="00793D12">
            <w:pPr>
              <w:outlineLvl w:val="3"/>
              <w:rPr>
                <w:b/>
                <w:color w:val="000000" w:themeColor="text1"/>
                <w:sz w:val="18"/>
                <w:szCs w:val="18"/>
              </w:rPr>
            </w:pPr>
          </w:p>
        </w:tc>
      </w:tr>
      <w:tr w:rsidR="009A345B" w:rsidRPr="009B02A8" w:rsidTr="00793D12">
        <w:sdt>
          <w:sdtPr>
            <w:rPr>
              <w:sz w:val="18"/>
              <w:szCs w:val="18"/>
            </w:rPr>
            <w:id w:val="-1434668566"/>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Pr>
                <w:color w:val="000000" w:themeColor="text1"/>
                <w:sz w:val="18"/>
                <w:szCs w:val="18"/>
              </w:rPr>
              <w:t>Phone number</w:t>
            </w:r>
          </w:p>
        </w:tc>
        <w:tc>
          <w:tcPr>
            <w:tcW w:w="3305" w:type="dxa"/>
          </w:tcPr>
          <w:p w:rsidR="009A345B" w:rsidRPr="009B02A8" w:rsidRDefault="009A345B" w:rsidP="00793D12">
            <w:pPr>
              <w:rPr>
                <w:b/>
                <w:color w:val="000000" w:themeColor="text1"/>
                <w:sz w:val="18"/>
                <w:szCs w:val="18"/>
              </w:rPr>
            </w:pPr>
            <w:r w:rsidRPr="00BF6B3C">
              <w:rPr>
                <w:b/>
                <w:color w:val="000000" w:themeColor="text1"/>
                <w:sz w:val="18"/>
                <w:szCs w:val="18"/>
              </w:rPr>
              <w:t>Represent phone number (home, business, cell) in accordance with the standards adopted in § 170.207(q</w:t>
            </w:r>
            <w:proofErr w:type="gramStart"/>
            <w:r w:rsidRPr="00BF6B3C">
              <w:rPr>
                <w:b/>
                <w:color w:val="000000" w:themeColor="text1"/>
                <w:sz w:val="18"/>
                <w:szCs w:val="18"/>
              </w:rPr>
              <w:t>)(</w:t>
            </w:r>
            <w:proofErr w:type="gramEnd"/>
            <w:r w:rsidRPr="00BF6B3C">
              <w:rPr>
                <w:b/>
                <w:color w:val="000000" w:themeColor="text1"/>
                <w:sz w:val="18"/>
                <w:szCs w:val="18"/>
              </w:rPr>
              <w:t>1). All phone numbers must be included when multiple phone numbers are present.</w:t>
            </w:r>
          </w:p>
        </w:tc>
      </w:tr>
      <w:tr w:rsidR="009A345B" w:rsidRPr="009B02A8" w:rsidTr="00793D12">
        <w:sdt>
          <w:sdtPr>
            <w:rPr>
              <w:sz w:val="18"/>
              <w:szCs w:val="18"/>
            </w:rPr>
            <w:id w:val="-929118522"/>
            <w14:checkbox>
              <w14:checked w14:val="0"/>
              <w14:checkedState w14:val="2612" w14:font="Yu Gothic UI"/>
              <w14:uncheckedState w14:val="2610" w14:font="Yu Gothic UI"/>
            </w14:checkbox>
          </w:sdtPr>
          <w:sdtEndPr/>
          <w:sdtContent>
            <w:tc>
              <w:tcPr>
                <w:tcW w:w="445" w:type="dxa"/>
              </w:tcPr>
              <w:p w:rsidR="009A345B" w:rsidRPr="009B02A8" w:rsidRDefault="009A345B" w:rsidP="00793D12">
                <w:pPr>
                  <w:rPr>
                    <w:sz w:val="18"/>
                    <w:szCs w:val="18"/>
                  </w:rPr>
                </w:pPr>
                <w:r w:rsidRPr="009B02A8">
                  <w:rPr>
                    <w:rFonts w:ascii="MS Gothic" w:eastAsia="MS Gothic" w:hAnsi="MS Gothic" w:hint="eastAsia"/>
                    <w:sz w:val="18"/>
                    <w:szCs w:val="18"/>
                  </w:rPr>
                  <w:t>☐</w:t>
                </w:r>
              </w:p>
            </w:tc>
          </w:sdtContent>
        </w:sdt>
        <w:tc>
          <w:tcPr>
            <w:tcW w:w="2044" w:type="dxa"/>
          </w:tcPr>
          <w:p w:rsidR="009A345B" w:rsidRPr="009B02A8" w:rsidRDefault="009A345B" w:rsidP="00793D12">
            <w:pPr>
              <w:spacing w:line="360" w:lineRule="auto"/>
              <w:rPr>
                <w:color w:val="000000" w:themeColor="text1"/>
                <w:sz w:val="18"/>
                <w:szCs w:val="18"/>
              </w:rPr>
            </w:pPr>
          </w:p>
        </w:tc>
        <w:tc>
          <w:tcPr>
            <w:tcW w:w="2836" w:type="dxa"/>
          </w:tcPr>
          <w:p w:rsidR="009A345B" w:rsidRPr="009B02A8" w:rsidRDefault="009A345B" w:rsidP="00793D12">
            <w:pPr>
              <w:spacing w:line="360" w:lineRule="auto"/>
              <w:rPr>
                <w:color w:val="000000" w:themeColor="text1"/>
                <w:sz w:val="18"/>
                <w:szCs w:val="18"/>
              </w:rPr>
            </w:pPr>
            <w:r>
              <w:rPr>
                <w:color w:val="000000" w:themeColor="text1"/>
                <w:sz w:val="18"/>
                <w:szCs w:val="18"/>
              </w:rPr>
              <w:t>Sex</w:t>
            </w:r>
          </w:p>
        </w:tc>
        <w:tc>
          <w:tcPr>
            <w:tcW w:w="3305" w:type="dxa"/>
          </w:tcPr>
          <w:p w:rsidR="009A345B" w:rsidRPr="009B02A8" w:rsidRDefault="009A345B" w:rsidP="00793D12">
            <w:pPr>
              <w:outlineLvl w:val="3"/>
              <w:rPr>
                <w:b/>
                <w:sz w:val="18"/>
                <w:szCs w:val="18"/>
              </w:rPr>
            </w:pPr>
            <w:r w:rsidRPr="00BF6B3C">
              <w:rPr>
                <w:b/>
                <w:sz w:val="18"/>
                <w:szCs w:val="18"/>
              </w:rPr>
              <w:t>Represent sex in accordance with the standard adopted in § 170.207(n</w:t>
            </w:r>
            <w:proofErr w:type="gramStart"/>
            <w:r w:rsidRPr="00BF6B3C">
              <w:rPr>
                <w:b/>
                <w:sz w:val="18"/>
                <w:szCs w:val="18"/>
              </w:rPr>
              <w:t>)(</w:t>
            </w:r>
            <w:proofErr w:type="gramEnd"/>
            <w:r w:rsidRPr="00BF6B3C">
              <w:rPr>
                <w:b/>
                <w:sz w:val="18"/>
                <w:szCs w:val="18"/>
              </w:rPr>
              <w:t>1).</w:t>
            </w:r>
          </w:p>
        </w:tc>
      </w:tr>
    </w:tbl>
    <w:p w:rsidR="009A345B" w:rsidRDefault="009A345B">
      <w:pPr>
        <w:rPr>
          <w:rFonts w:ascii="Arial" w:hAnsi="Arial" w:cs="Arial"/>
          <w:b/>
          <w:bCs/>
          <w:kern w:val="32"/>
          <w:sz w:val="32"/>
          <w:szCs w:val="32"/>
        </w:rPr>
      </w:pPr>
    </w:p>
    <w:p w:rsidR="009A345B" w:rsidRDefault="009A345B">
      <w:pPr>
        <w:rPr>
          <w:rFonts w:ascii="Arial" w:hAnsi="Arial" w:cs="Arial"/>
          <w:b/>
          <w:bCs/>
          <w:kern w:val="32"/>
          <w:sz w:val="32"/>
          <w:szCs w:val="32"/>
        </w:rPr>
      </w:pPr>
      <w:r>
        <w:br w:type="page"/>
      </w:r>
    </w:p>
    <w:p w:rsidR="00362E3C" w:rsidRDefault="00362E3C" w:rsidP="00362E3C">
      <w:pPr>
        <w:pStyle w:val="Heading1"/>
      </w:pPr>
      <w:r>
        <w:lastRenderedPageBreak/>
        <w:t>Change Log</w:t>
      </w:r>
      <w:bookmarkEnd w:id="12"/>
    </w:p>
    <w:tbl>
      <w:tblPr>
        <w:tblStyle w:val="TableGrid"/>
        <w:tblW w:w="0" w:type="auto"/>
        <w:tblLook w:val="04A0" w:firstRow="1" w:lastRow="0" w:firstColumn="1" w:lastColumn="0" w:noHBand="0" w:noVBand="1"/>
      </w:tblPr>
      <w:tblGrid>
        <w:gridCol w:w="2052"/>
        <w:gridCol w:w="6578"/>
      </w:tblGrid>
      <w:tr w:rsidR="00362E3C" w:rsidTr="00195107">
        <w:trPr>
          <w:trHeight w:val="332"/>
        </w:trPr>
        <w:tc>
          <w:tcPr>
            <w:tcW w:w="2052" w:type="dxa"/>
          </w:tcPr>
          <w:p w:rsidR="00362E3C" w:rsidRDefault="00362E3C" w:rsidP="004A3AA7">
            <w:r>
              <w:t>Revision</w:t>
            </w:r>
          </w:p>
        </w:tc>
        <w:tc>
          <w:tcPr>
            <w:tcW w:w="6578" w:type="dxa"/>
          </w:tcPr>
          <w:p w:rsidR="00362E3C" w:rsidRDefault="00362E3C" w:rsidP="004A3AA7">
            <w:r>
              <w:t>Change Description</w:t>
            </w:r>
          </w:p>
        </w:tc>
      </w:tr>
      <w:tr w:rsidR="00362E3C" w:rsidTr="00195107">
        <w:tc>
          <w:tcPr>
            <w:tcW w:w="2052" w:type="dxa"/>
          </w:tcPr>
          <w:p w:rsidR="00362E3C" w:rsidRDefault="00E644AE" w:rsidP="001C23FD">
            <w:r>
              <w:t>01-Oct-2016</w:t>
            </w:r>
          </w:p>
        </w:tc>
        <w:tc>
          <w:tcPr>
            <w:tcW w:w="6578" w:type="dxa"/>
          </w:tcPr>
          <w:p w:rsidR="00362E3C" w:rsidRDefault="00E644AE" w:rsidP="001272CA">
            <w:r>
              <w:t>Updated hyperlink for ONC-hosted ETT.</w:t>
            </w:r>
            <w:bookmarkStart w:id="13" w:name="_GoBack"/>
            <w:bookmarkEnd w:id="13"/>
          </w:p>
        </w:tc>
      </w:tr>
      <w:tr w:rsidR="00E644AE" w:rsidTr="00195107">
        <w:tc>
          <w:tcPr>
            <w:tcW w:w="2052" w:type="dxa"/>
          </w:tcPr>
          <w:p w:rsidR="00E644AE" w:rsidRDefault="00E644AE" w:rsidP="00E644AE">
            <w:r>
              <w:t>01-Jun-2016</w:t>
            </w:r>
          </w:p>
        </w:tc>
        <w:tc>
          <w:tcPr>
            <w:tcW w:w="6578" w:type="dxa"/>
          </w:tcPr>
          <w:p w:rsidR="00E644AE" w:rsidRDefault="00E644AE" w:rsidP="00E644AE">
            <w:r>
              <w:t>Added date range request to last step in section 1.2</w:t>
            </w:r>
          </w:p>
        </w:tc>
      </w:tr>
      <w:tr w:rsidR="00E644AE" w:rsidTr="00195107">
        <w:tc>
          <w:tcPr>
            <w:tcW w:w="2052" w:type="dxa"/>
          </w:tcPr>
          <w:p w:rsidR="00E644AE" w:rsidRDefault="00E644AE" w:rsidP="00E644AE">
            <w:r>
              <w:t>01-May-2016</w:t>
            </w:r>
          </w:p>
        </w:tc>
        <w:tc>
          <w:tcPr>
            <w:tcW w:w="6578" w:type="dxa"/>
          </w:tcPr>
          <w:p w:rsidR="00E644AE" w:rsidRDefault="00E644AE" w:rsidP="00E644AE">
            <w:r>
              <w:t>Added test client requirement to be supplied by health IT developer under “Test Data and Tools” section.  Added section for verification of Test Client Requirements during test event.</w:t>
            </w:r>
          </w:p>
        </w:tc>
      </w:tr>
      <w:tr w:rsidR="00E644AE" w:rsidTr="00195107">
        <w:tc>
          <w:tcPr>
            <w:tcW w:w="2052" w:type="dxa"/>
          </w:tcPr>
          <w:p w:rsidR="00E644AE" w:rsidRDefault="00E644AE" w:rsidP="00E644AE">
            <w:r>
              <w:t>01-Apr-2016</w:t>
            </w:r>
          </w:p>
        </w:tc>
        <w:tc>
          <w:tcPr>
            <w:tcW w:w="6578" w:type="dxa"/>
          </w:tcPr>
          <w:p w:rsidR="00E644AE" w:rsidRDefault="00E644AE" w:rsidP="00E644AE">
            <w:r>
              <w:t>Removed “time” requirement under section 1.1.</w:t>
            </w:r>
          </w:p>
        </w:tc>
      </w:tr>
      <w:tr w:rsidR="00E644AE" w:rsidTr="00195107">
        <w:tc>
          <w:tcPr>
            <w:tcW w:w="2052" w:type="dxa"/>
          </w:tcPr>
          <w:p w:rsidR="00E644AE" w:rsidRDefault="00E644AE" w:rsidP="00E644AE">
            <w:r>
              <w:t>01-Mar-2016</w:t>
            </w:r>
          </w:p>
        </w:tc>
        <w:tc>
          <w:tcPr>
            <w:tcW w:w="6578" w:type="dxa"/>
          </w:tcPr>
          <w:p w:rsidR="00E644AE" w:rsidRDefault="00E644AE" w:rsidP="00E644AE">
            <w:r>
              <w:t>Initial Release.</w:t>
            </w:r>
          </w:p>
        </w:tc>
      </w:tr>
      <w:tr w:rsidR="00E644AE" w:rsidTr="00195107">
        <w:tc>
          <w:tcPr>
            <w:tcW w:w="2052" w:type="dxa"/>
          </w:tcPr>
          <w:p w:rsidR="00E644AE" w:rsidRDefault="00E644AE" w:rsidP="00E644AE"/>
        </w:tc>
        <w:tc>
          <w:tcPr>
            <w:tcW w:w="6578" w:type="dxa"/>
          </w:tcPr>
          <w:p w:rsidR="00E644AE" w:rsidRDefault="00E644AE" w:rsidP="00E644AE"/>
        </w:tc>
      </w:tr>
      <w:tr w:rsidR="00E644AE" w:rsidTr="00195107">
        <w:tc>
          <w:tcPr>
            <w:tcW w:w="2052" w:type="dxa"/>
          </w:tcPr>
          <w:p w:rsidR="00E644AE" w:rsidRDefault="00E644AE" w:rsidP="00E644AE"/>
        </w:tc>
        <w:tc>
          <w:tcPr>
            <w:tcW w:w="6578" w:type="dxa"/>
          </w:tcPr>
          <w:p w:rsidR="00E644AE" w:rsidRDefault="00E644AE" w:rsidP="00E644AE"/>
        </w:tc>
      </w:tr>
      <w:tr w:rsidR="00E644AE" w:rsidTr="00195107">
        <w:tc>
          <w:tcPr>
            <w:tcW w:w="2052" w:type="dxa"/>
          </w:tcPr>
          <w:p w:rsidR="00E644AE" w:rsidRDefault="00E644AE" w:rsidP="00E644AE"/>
        </w:tc>
        <w:tc>
          <w:tcPr>
            <w:tcW w:w="6578" w:type="dxa"/>
          </w:tcPr>
          <w:p w:rsidR="00E644AE" w:rsidRDefault="00E644AE" w:rsidP="00E644AE"/>
        </w:tc>
      </w:tr>
    </w:tbl>
    <w:p w:rsidR="00362E3C" w:rsidRPr="00EB79BD" w:rsidRDefault="00362E3C" w:rsidP="00362E3C"/>
    <w:p w:rsidR="00362E3C" w:rsidRDefault="00362E3C" w:rsidP="00362E3C"/>
    <w:p w:rsidR="00362E3C" w:rsidRDefault="00362E3C" w:rsidP="00362E3C">
      <w:pPr>
        <w:pStyle w:val="Heading1"/>
      </w:pPr>
      <w:r>
        <w:br w:type="page"/>
      </w:r>
    </w:p>
    <w:p w:rsidR="000A4D9A" w:rsidRDefault="000A4D9A" w:rsidP="000A4D9A">
      <w:pPr>
        <w:rPr>
          <w:rFonts w:ascii="Calibri" w:hAnsi="Calibri"/>
          <w:sz w:val="22"/>
          <w:szCs w:val="22"/>
        </w:rPr>
      </w:pPr>
      <w:r>
        <w:rPr>
          <w:rFonts w:ascii="Calibri" w:hAnsi="Calibri"/>
          <w:b/>
          <w:bCs/>
          <w:sz w:val="22"/>
          <w:szCs w:val="22"/>
        </w:rPr>
        <w:lastRenderedPageBreak/>
        <w:t>About Drummond Group LLC</w:t>
      </w:r>
    </w:p>
    <w:p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A62C74">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1"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2"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3"/>
      <w:headerReference w:type="default" r:id="rId14"/>
      <w:footerReference w:type="default" r:id="rId15"/>
      <w:head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3D5" w:rsidRDefault="009F43D5">
      <w:r>
        <w:separator/>
      </w:r>
    </w:p>
  </w:endnote>
  <w:endnote w:type="continuationSeparator" w:id="0">
    <w:p w:rsidR="009F43D5" w:rsidRDefault="009F4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eelawadee">
    <w:altName w:val="Segoe UI"/>
    <w:panose1 w:val="020B0502040204020203"/>
    <w:charset w:val="00"/>
    <w:family w:val="swiss"/>
    <w:pitch w:val="variable"/>
    <w:sig w:usb0="0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700" w:rsidRDefault="00351700" w:rsidP="00C55861">
    <w:pPr>
      <w:pStyle w:val="Footer"/>
      <w:jc w:val="right"/>
      <w:rPr>
        <w:b/>
        <w:color w:val="000000"/>
        <w:sz w:val="16"/>
        <w:szCs w:val="16"/>
      </w:rPr>
    </w:pPr>
    <w:r>
      <w:rPr>
        <w:b/>
        <w:color w:val="000000"/>
        <w:sz w:val="16"/>
        <w:szCs w:val="16"/>
      </w:rPr>
      <w:t>Rev.: 01</w:t>
    </w:r>
    <w:r w:rsidR="00EE4E6A">
      <w:rPr>
        <w:b/>
        <w:color w:val="000000"/>
        <w:sz w:val="16"/>
        <w:szCs w:val="16"/>
      </w:rPr>
      <w:t>Oct</w:t>
    </w:r>
    <w:r>
      <w:rPr>
        <w:b/>
        <w:color w:val="000000"/>
        <w:sz w:val="16"/>
        <w:szCs w:val="16"/>
      </w:rPr>
      <w:t>2016</w:t>
    </w:r>
  </w:p>
  <w:p w:rsidR="00351700" w:rsidRDefault="00351700" w:rsidP="00C55861">
    <w:pPr>
      <w:pStyle w:val="Footer"/>
      <w:jc w:val="right"/>
      <w:rPr>
        <w:b/>
        <w:color w:val="000000"/>
        <w:sz w:val="16"/>
        <w:szCs w:val="16"/>
      </w:rPr>
    </w:pPr>
    <w:r>
      <w:rPr>
        <w:b/>
        <w:color w:val="000000"/>
        <w:sz w:val="16"/>
        <w:szCs w:val="16"/>
      </w:rPr>
      <w:t>EHR Test-155</w:t>
    </w:r>
  </w:p>
  <w:p w:rsidR="00351700" w:rsidRDefault="00351700" w:rsidP="00C55861">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E644AE">
      <w:rPr>
        <w:b/>
        <w:noProof/>
        <w:sz w:val="16"/>
        <w:szCs w:val="16"/>
      </w:rPr>
      <w:t>17</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E644AE">
      <w:rPr>
        <w:b/>
        <w:noProof/>
        <w:sz w:val="16"/>
        <w:szCs w:val="16"/>
      </w:rPr>
      <w:t>17</w:t>
    </w:r>
    <w:r>
      <w:rPr>
        <w:b/>
        <w:sz w:val="16"/>
        <w:szCs w:val="16"/>
      </w:rPr>
      <w:fldChar w:fldCharType="end"/>
    </w:r>
  </w:p>
  <w:p w:rsidR="00351700" w:rsidRPr="00894E8A" w:rsidRDefault="00351700" w:rsidP="00C55861">
    <w:pPr>
      <w:jc w:val="center"/>
      <w:rPr>
        <w:sz w:val="20"/>
        <w:szCs w:val="20"/>
      </w:rPr>
    </w:pPr>
    <w:r w:rsidRPr="00894E8A">
      <w:rPr>
        <w:sz w:val="20"/>
        <w:szCs w:val="20"/>
      </w:rPr>
      <w:t>Copyright © 201</w:t>
    </w:r>
    <w:r>
      <w:rPr>
        <w:sz w:val="20"/>
        <w:szCs w:val="20"/>
      </w:rPr>
      <w:t>6</w:t>
    </w:r>
    <w:r w:rsidRPr="00894E8A">
      <w:rPr>
        <w:sz w:val="20"/>
        <w:szCs w:val="20"/>
      </w:rPr>
      <w:t xml:space="preserve"> Drummond Group LLC</w:t>
    </w:r>
  </w:p>
  <w:p w:rsidR="00351700" w:rsidRPr="00894E8A" w:rsidRDefault="00351700" w:rsidP="00C55861">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p w:rsidR="00351700" w:rsidRPr="00C55861" w:rsidRDefault="00351700" w:rsidP="00C558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3D5" w:rsidRDefault="009F43D5">
      <w:r>
        <w:separator/>
      </w:r>
    </w:p>
  </w:footnote>
  <w:footnote w:type="continuationSeparator" w:id="0">
    <w:p w:rsidR="009F43D5" w:rsidRDefault="009F43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700" w:rsidRDefault="009F43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700" w:rsidRDefault="009F43D5" w:rsidP="00EE5B48">
    <w:pPr>
      <w:ind w:left="4245" w:hanging="4245"/>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left:0;text-align:left;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351700">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351700" w:rsidRPr="00A9582F">
      <w:rPr>
        <w:b/>
        <w:color w:val="000000"/>
        <w:sz w:val="32"/>
        <w:szCs w:val="32"/>
      </w:rPr>
      <w:t xml:space="preserve"> </w:t>
    </w:r>
    <w:r w:rsidR="00351700">
      <w:rPr>
        <w:b/>
        <w:color w:val="000000"/>
        <w:sz w:val="32"/>
        <w:szCs w:val="32"/>
      </w:rPr>
      <w:t xml:space="preserve">         </w:t>
    </w:r>
    <w:r w:rsidR="00351700">
      <w:rPr>
        <w:b/>
        <w:color w:val="000000"/>
      </w:rPr>
      <w:t>170.315</w:t>
    </w:r>
    <w:proofErr w:type="gramStart"/>
    <w:r w:rsidR="00351700">
      <w:rPr>
        <w:b/>
        <w:color w:val="000000"/>
      </w:rPr>
      <w:t>.g.9</w:t>
    </w:r>
    <w:proofErr w:type="gramEnd"/>
    <w:r w:rsidR="00351700">
      <w:rPr>
        <w:b/>
        <w:color w:val="000000"/>
      </w:rPr>
      <w:t xml:space="preserve"> Application Access – All Data Request PS</w:t>
    </w:r>
  </w:p>
  <w:p w:rsidR="00351700" w:rsidRDefault="00351700" w:rsidP="00450818">
    <w:pPr>
      <w:rPr>
        <w:b/>
        <w:color w:val="000000"/>
      </w:rPr>
    </w:pPr>
  </w:p>
  <w:p w:rsidR="00351700" w:rsidRPr="00450818" w:rsidRDefault="00351700"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700" w:rsidRDefault="009F43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A0295"/>
    <w:multiLevelType w:val="hybridMultilevel"/>
    <w:tmpl w:val="A3520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03A3A"/>
    <w:multiLevelType w:val="hybridMultilevel"/>
    <w:tmpl w:val="E72C34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05B15"/>
    <w:multiLevelType w:val="hybridMultilevel"/>
    <w:tmpl w:val="14F08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1F5186"/>
    <w:multiLevelType w:val="hybridMultilevel"/>
    <w:tmpl w:val="84C60268"/>
    <w:lvl w:ilvl="0" w:tplc="04090003">
      <w:start w:val="1"/>
      <w:numFmt w:val="bullet"/>
      <w:lvlText w:val="o"/>
      <w:lvlJc w:val="left"/>
      <w:pPr>
        <w:ind w:left="2232" w:hanging="360"/>
      </w:pPr>
      <w:rPr>
        <w:rFonts w:ascii="Courier New" w:hAnsi="Courier New" w:cs="Courier New"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4"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106A39"/>
    <w:multiLevelType w:val="hybridMultilevel"/>
    <w:tmpl w:val="95020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87C0DFF"/>
    <w:multiLevelType w:val="hybridMultilevel"/>
    <w:tmpl w:val="1F926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5206CC6"/>
    <w:multiLevelType w:val="hybridMultilevel"/>
    <w:tmpl w:val="9E385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6753D3"/>
    <w:multiLevelType w:val="hybridMultilevel"/>
    <w:tmpl w:val="68B0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627A07"/>
    <w:multiLevelType w:val="hybridMultilevel"/>
    <w:tmpl w:val="F728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FE6BC7"/>
    <w:multiLevelType w:val="hybridMultilevel"/>
    <w:tmpl w:val="C1042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893F14"/>
    <w:multiLevelType w:val="hybridMultilevel"/>
    <w:tmpl w:val="6A26A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7A0053D"/>
    <w:multiLevelType w:val="hybridMultilevel"/>
    <w:tmpl w:val="36140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44235D7"/>
    <w:multiLevelType w:val="hybridMultilevel"/>
    <w:tmpl w:val="952C5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6E2182"/>
    <w:multiLevelType w:val="hybridMultilevel"/>
    <w:tmpl w:val="7CF8DA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3822EE6"/>
    <w:multiLevelType w:val="hybridMultilevel"/>
    <w:tmpl w:val="21E01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51D4C9E"/>
    <w:multiLevelType w:val="hybridMultilevel"/>
    <w:tmpl w:val="EC3C7AAE"/>
    <w:lvl w:ilvl="0" w:tplc="8032917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E7C51E8"/>
    <w:multiLevelType w:val="hybridMultilevel"/>
    <w:tmpl w:val="52E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5D12098"/>
    <w:multiLevelType w:val="hybridMultilevel"/>
    <w:tmpl w:val="5AA4B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20"/>
  </w:num>
  <w:num w:numId="2">
    <w:abstractNumId w:val="8"/>
  </w:num>
  <w:num w:numId="3">
    <w:abstractNumId w:val="18"/>
  </w:num>
  <w:num w:numId="4">
    <w:abstractNumId w:val="17"/>
  </w:num>
  <w:num w:numId="5">
    <w:abstractNumId w:val="24"/>
  </w:num>
  <w:num w:numId="6">
    <w:abstractNumId w:val="9"/>
  </w:num>
  <w:num w:numId="7">
    <w:abstractNumId w:val="11"/>
  </w:num>
  <w:num w:numId="8">
    <w:abstractNumId w:val="33"/>
  </w:num>
  <w:num w:numId="9">
    <w:abstractNumId w:val="12"/>
  </w:num>
  <w:num w:numId="10">
    <w:abstractNumId w:val="32"/>
  </w:num>
  <w:num w:numId="11">
    <w:abstractNumId w:val="7"/>
  </w:num>
  <w:num w:numId="12">
    <w:abstractNumId w:val="29"/>
  </w:num>
  <w:num w:numId="13">
    <w:abstractNumId w:val="23"/>
  </w:num>
  <w:num w:numId="14">
    <w:abstractNumId w:val="34"/>
  </w:num>
  <w:num w:numId="15">
    <w:abstractNumId w:val="36"/>
  </w:num>
  <w:num w:numId="16">
    <w:abstractNumId w:val="43"/>
  </w:num>
  <w:num w:numId="17">
    <w:abstractNumId w:val="4"/>
  </w:num>
  <w:num w:numId="18">
    <w:abstractNumId w:val="41"/>
  </w:num>
  <w:num w:numId="19">
    <w:abstractNumId w:val="38"/>
  </w:num>
  <w:num w:numId="20">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5"/>
  </w:num>
  <w:num w:numId="23">
    <w:abstractNumId w:val="28"/>
  </w:num>
  <w:num w:numId="24">
    <w:abstractNumId w:val="26"/>
  </w:num>
  <w:num w:numId="25">
    <w:abstractNumId w:val="27"/>
  </w:num>
  <w:num w:numId="26">
    <w:abstractNumId w:val="45"/>
  </w:num>
  <w:num w:numId="27">
    <w:abstractNumId w:val="30"/>
  </w:num>
  <w:num w:numId="28">
    <w:abstractNumId w:val="42"/>
  </w:num>
  <w:num w:numId="29">
    <w:abstractNumId w:val="21"/>
  </w:num>
  <w:num w:numId="30">
    <w:abstractNumId w:val="13"/>
  </w:num>
  <w:num w:numId="31">
    <w:abstractNumId w:val="19"/>
  </w:num>
  <w:num w:numId="32">
    <w:abstractNumId w:val="37"/>
  </w:num>
  <w:num w:numId="33">
    <w:abstractNumId w:val="16"/>
  </w:num>
  <w:num w:numId="34">
    <w:abstractNumId w:val="10"/>
  </w:num>
  <w:num w:numId="35">
    <w:abstractNumId w:val="35"/>
  </w:num>
  <w:num w:numId="36">
    <w:abstractNumId w:val="14"/>
  </w:num>
  <w:num w:numId="37">
    <w:abstractNumId w:val="22"/>
  </w:num>
  <w:num w:numId="38">
    <w:abstractNumId w:val="6"/>
  </w:num>
  <w:num w:numId="39">
    <w:abstractNumId w:val="44"/>
  </w:num>
  <w:num w:numId="40">
    <w:abstractNumId w:val="39"/>
  </w:num>
  <w:num w:numId="41">
    <w:abstractNumId w:val="25"/>
  </w:num>
  <w:num w:numId="42">
    <w:abstractNumId w:val="31"/>
  </w:num>
  <w:num w:numId="43">
    <w:abstractNumId w:val="40"/>
  </w:num>
  <w:num w:numId="44">
    <w:abstractNumId w:val="0"/>
  </w:num>
  <w:num w:numId="45">
    <w:abstractNumId w:val="3"/>
  </w:num>
  <w:num w:numId="46">
    <w:abstractNumId w:val="1"/>
  </w:num>
  <w:num w:numId="47">
    <w:abstractNumId w:val="21"/>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6967"/>
    <w:rsid w:val="000136BA"/>
    <w:rsid w:val="00017B5D"/>
    <w:rsid w:val="00017ED2"/>
    <w:rsid w:val="000214E7"/>
    <w:rsid w:val="000239B3"/>
    <w:rsid w:val="00023BE3"/>
    <w:rsid w:val="00027433"/>
    <w:rsid w:val="00030CC5"/>
    <w:rsid w:val="00031C7D"/>
    <w:rsid w:val="00031CC0"/>
    <w:rsid w:val="00033396"/>
    <w:rsid w:val="0003750C"/>
    <w:rsid w:val="0004290B"/>
    <w:rsid w:val="000449FC"/>
    <w:rsid w:val="000466CB"/>
    <w:rsid w:val="00046795"/>
    <w:rsid w:val="00050263"/>
    <w:rsid w:val="00050F36"/>
    <w:rsid w:val="000545E6"/>
    <w:rsid w:val="00055538"/>
    <w:rsid w:val="00055576"/>
    <w:rsid w:val="00062EDB"/>
    <w:rsid w:val="000638E6"/>
    <w:rsid w:val="00063DD0"/>
    <w:rsid w:val="00065309"/>
    <w:rsid w:val="000656BA"/>
    <w:rsid w:val="00067A09"/>
    <w:rsid w:val="000718AD"/>
    <w:rsid w:val="00075C49"/>
    <w:rsid w:val="0007769F"/>
    <w:rsid w:val="0008384D"/>
    <w:rsid w:val="0008418A"/>
    <w:rsid w:val="0009137C"/>
    <w:rsid w:val="00092310"/>
    <w:rsid w:val="0009560A"/>
    <w:rsid w:val="00097011"/>
    <w:rsid w:val="00097CD4"/>
    <w:rsid w:val="000A27DD"/>
    <w:rsid w:val="000A2D31"/>
    <w:rsid w:val="000A4D9A"/>
    <w:rsid w:val="000A4DA2"/>
    <w:rsid w:val="000A62A6"/>
    <w:rsid w:val="000B2167"/>
    <w:rsid w:val="000B2BD9"/>
    <w:rsid w:val="000B3D81"/>
    <w:rsid w:val="000B54B8"/>
    <w:rsid w:val="000B68FE"/>
    <w:rsid w:val="000C0887"/>
    <w:rsid w:val="000C0938"/>
    <w:rsid w:val="000C2A49"/>
    <w:rsid w:val="000C2BA6"/>
    <w:rsid w:val="000C3F05"/>
    <w:rsid w:val="000C794F"/>
    <w:rsid w:val="000D5EE4"/>
    <w:rsid w:val="000D7CFC"/>
    <w:rsid w:val="000E6311"/>
    <w:rsid w:val="000F71EF"/>
    <w:rsid w:val="0010252A"/>
    <w:rsid w:val="00105D7B"/>
    <w:rsid w:val="001128A5"/>
    <w:rsid w:val="00113D1D"/>
    <w:rsid w:val="00115F20"/>
    <w:rsid w:val="00116B42"/>
    <w:rsid w:val="00124587"/>
    <w:rsid w:val="0012550C"/>
    <w:rsid w:val="001272CA"/>
    <w:rsid w:val="00127916"/>
    <w:rsid w:val="00133301"/>
    <w:rsid w:val="0013504F"/>
    <w:rsid w:val="00136BE0"/>
    <w:rsid w:val="00137EC9"/>
    <w:rsid w:val="0014729D"/>
    <w:rsid w:val="00147A3C"/>
    <w:rsid w:val="0015254E"/>
    <w:rsid w:val="001552A1"/>
    <w:rsid w:val="00156719"/>
    <w:rsid w:val="00157882"/>
    <w:rsid w:val="00161A53"/>
    <w:rsid w:val="00163E5B"/>
    <w:rsid w:val="00165103"/>
    <w:rsid w:val="0016765A"/>
    <w:rsid w:val="001703D3"/>
    <w:rsid w:val="00172545"/>
    <w:rsid w:val="00172C28"/>
    <w:rsid w:val="00172D5C"/>
    <w:rsid w:val="00174D10"/>
    <w:rsid w:val="00180A9E"/>
    <w:rsid w:val="00181021"/>
    <w:rsid w:val="00190714"/>
    <w:rsid w:val="00195107"/>
    <w:rsid w:val="0019552B"/>
    <w:rsid w:val="001A300F"/>
    <w:rsid w:val="001A55F0"/>
    <w:rsid w:val="001A67EB"/>
    <w:rsid w:val="001A7287"/>
    <w:rsid w:val="001A7BFA"/>
    <w:rsid w:val="001B0112"/>
    <w:rsid w:val="001B174F"/>
    <w:rsid w:val="001B2F8A"/>
    <w:rsid w:val="001B713D"/>
    <w:rsid w:val="001C0252"/>
    <w:rsid w:val="001C1AAA"/>
    <w:rsid w:val="001C23FD"/>
    <w:rsid w:val="001D1BE5"/>
    <w:rsid w:val="001D1F57"/>
    <w:rsid w:val="001D47ED"/>
    <w:rsid w:val="001D6341"/>
    <w:rsid w:val="001E3197"/>
    <w:rsid w:val="001E43FC"/>
    <w:rsid w:val="001E5F28"/>
    <w:rsid w:val="001F3767"/>
    <w:rsid w:val="002015BB"/>
    <w:rsid w:val="0020410A"/>
    <w:rsid w:val="002056F0"/>
    <w:rsid w:val="002071E0"/>
    <w:rsid w:val="00207377"/>
    <w:rsid w:val="0022327B"/>
    <w:rsid w:val="00230E45"/>
    <w:rsid w:val="0023498A"/>
    <w:rsid w:val="00235E08"/>
    <w:rsid w:val="0023696C"/>
    <w:rsid w:val="002378DE"/>
    <w:rsid w:val="00240637"/>
    <w:rsid w:val="00242B20"/>
    <w:rsid w:val="00243AA5"/>
    <w:rsid w:val="00244EE7"/>
    <w:rsid w:val="0024522E"/>
    <w:rsid w:val="002469C0"/>
    <w:rsid w:val="00246A96"/>
    <w:rsid w:val="002506CD"/>
    <w:rsid w:val="0025198E"/>
    <w:rsid w:val="00252411"/>
    <w:rsid w:val="00252D73"/>
    <w:rsid w:val="00253A43"/>
    <w:rsid w:val="002544D3"/>
    <w:rsid w:val="0025588B"/>
    <w:rsid w:val="00255DC9"/>
    <w:rsid w:val="00257318"/>
    <w:rsid w:val="002664E2"/>
    <w:rsid w:val="0027195F"/>
    <w:rsid w:val="002749C1"/>
    <w:rsid w:val="002806B4"/>
    <w:rsid w:val="00281F8D"/>
    <w:rsid w:val="0028223B"/>
    <w:rsid w:val="00282D9B"/>
    <w:rsid w:val="00286729"/>
    <w:rsid w:val="00294DBF"/>
    <w:rsid w:val="00297D31"/>
    <w:rsid w:val="002A6592"/>
    <w:rsid w:val="002B18E0"/>
    <w:rsid w:val="002B41B2"/>
    <w:rsid w:val="002B594B"/>
    <w:rsid w:val="002B7043"/>
    <w:rsid w:val="002C15F7"/>
    <w:rsid w:val="002C27AE"/>
    <w:rsid w:val="002C7559"/>
    <w:rsid w:val="002D50A7"/>
    <w:rsid w:val="002E3259"/>
    <w:rsid w:val="002E38C4"/>
    <w:rsid w:val="002E3C26"/>
    <w:rsid w:val="002F155B"/>
    <w:rsid w:val="002F4A2E"/>
    <w:rsid w:val="002F7958"/>
    <w:rsid w:val="00300946"/>
    <w:rsid w:val="0030412A"/>
    <w:rsid w:val="00304DF3"/>
    <w:rsid w:val="00304E70"/>
    <w:rsid w:val="00312127"/>
    <w:rsid w:val="00312AFC"/>
    <w:rsid w:val="003216C1"/>
    <w:rsid w:val="00321ED4"/>
    <w:rsid w:val="00332F85"/>
    <w:rsid w:val="00333E8D"/>
    <w:rsid w:val="00334A23"/>
    <w:rsid w:val="00334BFC"/>
    <w:rsid w:val="00336EDC"/>
    <w:rsid w:val="00337F3D"/>
    <w:rsid w:val="00347368"/>
    <w:rsid w:val="00351700"/>
    <w:rsid w:val="00351967"/>
    <w:rsid w:val="00356A25"/>
    <w:rsid w:val="00361501"/>
    <w:rsid w:val="00362E3C"/>
    <w:rsid w:val="00363215"/>
    <w:rsid w:val="003672AF"/>
    <w:rsid w:val="00394B5F"/>
    <w:rsid w:val="00395193"/>
    <w:rsid w:val="003B1CB6"/>
    <w:rsid w:val="003B29A3"/>
    <w:rsid w:val="003B3080"/>
    <w:rsid w:val="003B5D31"/>
    <w:rsid w:val="003B7D35"/>
    <w:rsid w:val="003C3545"/>
    <w:rsid w:val="003C5A89"/>
    <w:rsid w:val="003D104E"/>
    <w:rsid w:val="003D2F13"/>
    <w:rsid w:val="003D47A4"/>
    <w:rsid w:val="003D5241"/>
    <w:rsid w:val="003D52DB"/>
    <w:rsid w:val="003D6861"/>
    <w:rsid w:val="003D7911"/>
    <w:rsid w:val="003E0264"/>
    <w:rsid w:val="003E17A1"/>
    <w:rsid w:val="003E292F"/>
    <w:rsid w:val="003E3541"/>
    <w:rsid w:val="003E619D"/>
    <w:rsid w:val="003E626B"/>
    <w:rsid w:val="003E72FF"/>
    <w:rsid w:val="003F30B4"/>
    <w:rsid w:val="003F40A8"/>
    <w:rsid w:val="003F51CC"/>
    <w:rsid w:val="003F6768"/>
    <w:rsid w:val="0040387A"/>
    <w:rsid w:val="00407A02"/>
    <w:rsid w:val="0041020F"/>
    <w:rsid w:val="004122D8"/>
    <w:rsid w:val="00414966"/>
    <w:rsid w:val="004151F1"/>
    <w:rsid w:val="0041731B"/>
    <w:rsid w:val="004208AA"/>
    <w:rsid w:val="00420D1C"/>
    <w:rsid w:val="00423BE9"/>
    <w:rsid w:val="00425817"/>
    <w:rsid w:val="00432ED8"/>
    <w:rsid w:val="00433A78"/>
    <w:rsid w:val="00435E3C"/>
    <w:rsid w:val="00445293"/>
    <w:rsid w:val="00447038"/>
    <w:rsid w:val="00450818"/>
    <w:rsid w:val="00455782"/>
    <w:rsid w:val="004634F0"/>
    <w:rsid w:val="00470883"/>
    <w:rsid w:val="0047421D"/>
    <w:rsid w:val="004748BF"/>
    <w:rsid w:val="00474E2A"/>
    <w:rsid w:val="00477E14"/>
    <w:rsid w:val="00482BAD"/>
    <w:rsid w:val="00483CCA"/>
    <w:rsid w:val="00487B71"/>
    <w:rsid w:val="00496099"/>
    <w:rsid w:val="00496E55"/>
    <w:rsid w:val="004A01D2"/>
    <w:rsid w:val="004A3AA7"/>
    <w:rsid w:val="004A5207"/>
    <w:rsid w:val="004A6BA7"/>
    <w:rsid w:val="004A7C8A"/>
    <w:rsid w:val="004B169E"/>
    <w:rsid w:val="004B1EBD"/>
    <w:rsid w:val="004C1AC2"/>
    <w:rsid w:val="004C251E"/>
    <w:rsid w:val="004C3732"/>
    <w:rsid w:val="004C47B5"/>
    <w:rsid w:val="004C6907"/>
    <w:rsid w:val="004D2E7F"/>
    <w:rsid w:val="004D45F3"/>
    <w:rsid w:val="004E106D"/>
    <w:rsid w:val="004E2152"/>
    <w:rsid w:val="004E35BA"/>
    <w:rsid w:val="004E392E"/>
    <w:rsid w:val="004E565C"/>
    <w:rsid w:val="004E5BF8"/>
    <w:rsid w:val="004F04A1"/>
    <w:rsid w:val="004F56BB"/>
    <w:rsid w:val="00500B86"/>
    <w:rsid w:val="00505316"/>
    <w:rsid w:val="00507022"/>
    <w:rsid w:val="00512208"/>
    <w:rsid w:val="005256AF"/>
    <w:rsid w:val="00526D00"/>
    <w:rsid w:val="0053026E"/>
    <w:rsid w:val="005331EB"/>
    <w:rsid w:val="00534CDF"/>
    <w:rsid w:val="00534F68"/>
    <w:rsid w:val="00535B6C"/>
    <w:rsid w:val="0054058F"/>
    <w:rsid w:val="005466DC"/>
    <w:rsid w:val="00551824"/>
    <w:rsid w:val="00552652"/>
    <w:rsid w:val="00560ECA"/>
    <w:rsid w:val="00562510"/>
    <w:rsid w:val="00563FC7"/>
    <w:rsid w:val="00564EFD"/>
    <w:rsid w:val="00566FE3"/>
    <w:rsid w:val="00570710"/>
    <w:rsid w:val="00571AD3"/>
    <w:rsid w:val="005769DE"/>
    <w:rsid w:val="00583CB0"/>
    <w:rsid w:val="00585C69"/>
    <w:rsid w:val="00586615"/>
    <w:rsid w:val="005957D0"/>
    <w:rsid w:val="005959FD"/>
    <w:rsid w:val="0059752C"/>
    <w:rsid w:val="005A27CE"/>
    <w:rsid w:val="005A5CC3"/>
    <w:rsid w:val="005A5CD8"/>
    <w:rsid w:val="005B1322"/>
    <w:rsid w:val="005C3EC4"/>
    <w:rsid w:val="005C41F3"/>
    <w:rsid w:val="005C4620"/>
    <w:rsid w:val="005C5655"/>
    <w:rsid w:val="005C7B0B"/>
    <w:rsid w:val="005D24DB"/>
    <w:rsid w:val="005D5757"/>
    <w:rsid w:val="005D7DAE"/>
    <w:rsid w:val="005E28F5"/>
    <w:rsid w:val="005E2A61"/>
    <w:rsid w:val="005E4463"/>
    <w:rsid w:val="005E5B86"/>
    <w:rsid w:val="005F020C"/>
    <w:rsid w:val="005F4354"/>
    <w:rsid w:val="005F5A97"/>
    <w:rsid w:val="005F5D3D"/>
    <w:rsid w:val="005F5DA0"/>
    <w:rsid w:val="005F72CD"/>
    <w:rsid w:val="00601A68"/>
    <w:rsid w:val="0060621F"/>
    <w:rsid w:val="006162CA"/>
    <w:rsid w:val="0062750E"/>
    <w:rsid w:val="00627815"/>
    <w:rsid w:val="00630251"/>
    <w:rsid w:val="00632B41"/>
    <w:rsid w:val="00633339"/>
    <w:rsid w:val="00634649"/>
    <w:rsid w:val="00641425"/>
    <w:rsid w:val="006475F2"/>
    <w:rsid w:val="00652336"/>
    <w:rsid w:val="00652384"/>
    <w:rsid w:val="00652D34"/>
    <w:rsid w:val="00653EA4"/>
    <w:rsid w:val="00654463"/>
    <w:rsid w:val="00661363"/>
    <w:rsid w:val="0066530B"/>
    <w:rsid w:val="00665435"/>
    <w:rsid w:val="00666020"/>
    <w:rsid w:val="00670062"/>
    <w:rsid w:val="00670919"/>
    <w:rsid w:val="00671ECB"/>
    <w:rsid w:val="00672C37"/>
    <w:rsid w:val="00672C77"/>
    <w:rsid w:val="00674AFC"/>
    <w:rsid w:val="006853FE"/>
    <w:rsid w:val="0069259C"/>
    <w:rsid w:val="006A4EB1"/>
    <w:rsid w:val="006A5B3D"/>
    <w:rsid w:val="006A5DFF"/>
    <w:rsid w:val="006A5F3F"/>
    <w:rsid w:val="006B0544"/>
    <w:rsid w:val="006B353C"/>
    <w:rsid w:val="006C1E6B"/>
    <w:rsid w:val="006C3FC4"/>
    <w:rsid w:val="006D0DFD"/>
    <w:rsid w:val="006D2AE3"/>
    <w:rsid w:val="006D3A92"/>
    <w:rsid w:val="006E0446"/>
    <w:rsid w:val="006E2C33"/>
    <w:rsid w:val="006E4732"/>
    <w:rsid w:val="006E4FC6"/>
    <w:rsid w:val="006F07EF"/>
    <w:rsid w:val="006F1AD9"/>
    <w:rsid w:val="00700BF6"/>
    <w:rsid w:val="00702D4A"/>
    <w:rsid w:val="007037A4"/>
    <w:rsid w:val="00704C2B"/>
    <w:rsid w:val="007050D8"/>
    <w:rsid w:val="007050EA"/>
    <w:rsid w:val="00720FFA"/>
    <w:rsid w:val="00722F2F"/>
    <w:rsid w:val="007277A5"/>
    <w:rsid w:val="00732108"/>
    <w:rsid w:val="00736732"/>
    <w:rsid w:val="00736D90"/>
    <w:rsid w:val="00737178"/>
    <w:rsid w:val="007464BD"/>
    <w:rsid w:val="0075038E"/>
    <w:rsid w:val="007563B5"/>
    <w:rsid w:val="007674FB"/>
    <w:rsid w:val="007678EB"/>
    <w:rsid w:val="00767AF9"/>
    <w:rsid w:val="00772372"/>
    <w:rsid w:val="00772D11"/>
    <w:rsid w:val="007764AD"/>
    <w:rsid w:val="007773B8"/>
    <w:rsid w:val="007774B2"/>
    <w:rsid w:val="00780CD5"/>
    <w:rsid w:val="00781A12"/>
    <w:rsid w:val="00782151"/>
    <w:rsid w:val="0079006E"/>
    <w:rsid w:val="007902A0"/>
    <w:rsid w:val="00795D54"/>
    <w:rsid w:val="007A3989"/>
    <w:rsid w:val="007B122A"/>
    <w:rsid w:val="007B3237"/>
    <w:rsid w:val="007B44A7"/>
    <w:rsid w:val="007C1766"/>
    <w:rsid w:val="007C7956"/>
    <w:rsid w:val="007D6E6C"/>
    <w:rsid w:val="007E26F6"/>
    <w:rsid w:val="007E4666"/>
    <w:rsid w:val="007E4947"/>
    <w:rsid w:val="007E5673"/>
    <w:rsid w:val="007E5A44"/>
    <w:rsid w:val="007F128B"/>
    <w:rsid w:val="007F2F29"/>
    <w:rsid w:val="007F73D0"/>
    <w:rsid w:val="007F742F"/>
    <w:rsid w:val="00802166"/>
    <w:rsid w:val="00803692"/>
    <w:rsid w:val="00804F5C"/>
    <w:rsid w:val="00805347"/>
    <w:rsid w:val="008057E3"/>
    <w:rsid w:val="00805C46"/>
    <w:rsid w:val="008067F9"/>
    <w:rsid w:val="00806AA3"/>
    <w:rsid w:val="008102EA"/>
    <w:rsid w:val="00811CEC"/>
    <w:rsid w:val="00815536"/>
    <w:rsid w:val="00815ED7"/>
    <w:rsid w:val="008163E0"/>
    <w:rsid w:val="00820B7C"/>
    <w:rsid w:val="008216D9"/>
    <w:rsid w:val="00825FAD"/>
    <w:rsid w:val="00825FBD"/>
    <w:rsid w:val="0082645E"/>
    <w:rsid w:val="00832EAA"/>
    <w:rsid w:val="00834AC7"/>
    <w:rsid w:val="00835138"/>
    <w:rsid w:val="008474F3"/>
    <w:rsid w:val="00851A75"/>
    <w:rsid w:val="00854D10"/>
    <w:rsid w:val="008575E2"/>
    <w:rsid w:val="008603F5"/>
    <w:rsid w:val="00860FA7"/>
    <w:rsid w:val="00863910"/>
    <w:rsid w:val="008711DF"/>
    <w:rsid w:val="0087425C"/>
    <w:rsid w:val="00882958"/>
    <w:rsid w:val="00882FCB"/>
    <w:rsid w:val="00884B3F"/>
    <w:rsid w:val="00885145"/>
    <w:rsid w:val="008938F2"/>
    <w:rsid w:val="00894E8A"/>
    <w:rsid w:val="00895E98"/>
    <w:rsid w:val="00896630"/>
    <w:rsid w:val="008A3D6B"/>
    <w:rsid w:val="008A4E56"/>
    <w:rsid w:val="008A5067"/>
    <w:rsid w:val="008A71A2"/>
    <w:rsid w:val="008B3F4F"/>
    <w:rsid w:val="008B7D72"/>
    <w:rsid w:val="008C3B5F"/>
    <w:rsid w:val="008D0FC4"/>
    <w:rsid w:val="008D6DF4"/>
    <w:rsid w:val="008E7308"/>
    <w:rsid w:val="008F0CE5"/>
    <w:rsid w:val="008F5CB9"/>
    <w:rsid w:val="008F7350"/>
    <w:rsid w:val="00900917"/>
    <w:rsid w:val="0090490B"/>
    <w:rsid w:val="00912AB3"/>
    <w:rsid w:val="00912DB0"/>
    <w:rsid w:val="00914AAA"/>
    <w:rsid w:val="009153C8"/>
    <w:rsid w:val="00915ADC"/>
    <w:rsid w:val="00927104"/>
    <w:rsid w:val="00930206"/>
    <w:rsid w:val="009313EA"/>
    <w:rsid w:val="00940BD4"/>
    <w:rsid w:val="00947A53"/>
    <w:rsid w:val="009503CF"/>
    <w:rsid w:val="009515CA"/>
    <w:rsid w:val="009538A5"/>
    <w:rsid w:val="00955877"/>
    <w:rsid w:val="00956758"/>
    <w:rsid w:val="0095675E"/>
    <w:rsid w:val="00956B15"/>
    <w:rsid w:val="00957D2C"/>
    <w:rsid w:val="00960449"/>
    <w:rsid w:val="00963764"/>
    <w:rsid w:val="00963829"/>
    <w:rsid w:val="00964798"/>
    <w:rsid w:val="00971581"/>
    <w:rsid w:val="00974C2E"/>
    <w:rsid w:val="00982A06"/>
    <w:rsid w:val="00982B9F"/>
    <w:rsid w:val="0098581A"/>
    <w:rsid w:val="00996701"/>
    <w:rsid w:val="009A1685"/>
    <w:rsid w:val="009A1760"/>
    <w:rsid w:val="009A345B"/>
    <w:rsid w:val="009A5889"/>
    <w:rsid w:val="009B1340"/>
    <w:rsid w:val="009B2190"/>
    <w:rsid w:val="009B2326"/>
    <w:rsid w:val="009B454F"/>
    <w:rsid w:val="009B73E6"/>
    <w:rsid w:val="009C34C2"/>
    <w:rsid w:val="009D4AE4"/>
    <w:rsid w:val="009D5A77"/>
    <w:rsid w:val="009D5B8F"/>
    <w:rsid w:val="009E1DB2"/>
    <w:rsid w:val="009F2B8A"/>
    <w:rsid w:val="009F43D5"/>
    <w:rsid w:val="009F721E"/>
    <w:rsid w:val="00A05A9B"/>
    <w:rsid w:val="00A1775F"/>
    <w:rsid w:val="00A205AD"/>
    <w:rsid w:val="00A21CB3"/>
    <w:rsid w:val="00A21DA5"/>
    <w:rsid w:val="00A249D3"/>
    <w:rsid w:val="00A2571D"/>
    <w:rsid w:val="00A260B0"/>
    <w:rsid w:val="00A3038C"/>
    <w:rsid w:val="00A30B26"/>
    <w:rsid w:val="00A3278B"/>
    <w:rsid w:val="00A33569"/>
    <w:rsid w:val="00A358C1"/>
    <w:rsid w:val="00A369C5"/>
    <w:rsid w:val="00A42E4B"/>
    <w:rsid w:val="00A44ACB"/>
    <w:rsid w:val="00A455FD"/>
    <w:rsid w:val="00A461C4"/>
    <w:rsid w:val="00A467AA"/>
    <w:rsid w:val="00A5019D"/>
    <w:rsid w:val="00A51E26"/>
    <w:rsid w:val="00A54344"/>
    <w:rsid w:val="00A55EE0"/>
    <w:rsid w:val="00A62C74"/>
    <w:rsid w:val="00A702BE"/>
    <w:rsid w:val="00A70D15"/>
    <w:rsid w:val="00A7225E"/>
    <w:rsid w:val="00A80CE4"/>
    <w:rsid w:val="00A821F7"/>
    <w:rsid w:val="00A85FDD"/>
    <w:rsid w:val="00A871EA"/>
    <w:rsid w:val="00A87521"/>
    <w:rsid w:val="00A90F19"/>
    <w:rsid w:val="00A911A2"/>
    <w:rsid w:val="00A9314C"/>
    <w:rsid w:val="00A93CD8"/>
    <w:rsid w:val="00A956A9"/>
    <w:rsid w:val="00AA1216"/>
    <w:rsid w:val="00AA3FC6"/>
    <w:rsid w:val="00AB0FEE"/>
    <w:rsid w:val="00AB3EA6"/>
    <w:rsid w:val="00AB617D"/>
    <w:rsid w:val="00AC228E"/>
    <w:rsid w:val="00AC3FA3"/>
    <w:rsid w:val="00AC7814"/>
    <w:rsid w:val="00AD04B5"/>
    <w:rsid w:val="00AD0EED"/>
    <w:rsid w:val="00AD59D9"/>
    <w:rsid w:val="00AD6373"/>
    <w:rsid w:val="00AE09A7"/>
    <w:rsid w:val="00AE2482"/>
    <w:rsid w:val="00AF005D"/>
    <w:rsid w:val="00AF3B2E"/>
    <w:rsid w:val="00AF5E69"/>
    <w:rsid w:val="00B00BC1"/>
    <w:rsid w:val="00B022FE"/>
    <w:rsid w:val="00B0271A"/>
    <w:rsid w:val="00B037E7"/>
    <w:rsid w:val="00B04A32"/>
    <w:rsid w:val="00B06CD6"/>
    <w:rsid w:val="00B14792"/>
    <w:rsid w:val="00B24CEC"/>
    <w:rsid w:val="00B25FAC"/>
    <w:rsid w:val="00B26B2D"/>
    <w:rsid w:val="00B41E40"/>
    <w:rsid w:val="00B426B3"/>
    <w:rsid w:val="00B502B4"/>
    <w:rsid w:val="00B50908"/>
    <w:rsid w:val="00B51252"/>
    <w:rsid w:val="00B5370B"/>
    <w:rsid w:val="00B54585"/>
    <w:rsid w:val="00B65019"/>
    <w:rsid w:val="00B67D00"/>
    <w:rsid w:val="00B704EA"/>
    <w:rsid w:val="00B725FB"/>
    <w:rsid w:val="00B748B3"/>
    <w:rsid w:val="00B74F7C"/>
    <w:rsid w:val="00B75D8C"/>
    <w:rsid w:val="00B77808"/>
    <w:rsid w:val="00B80073"/>
    <w:rsid w:val="00B879CA"/>
    <w:rsid w:val="00B9310A"/>
    <w:rsid w:val="00B945EB"/>
    <w:rsid w:val="00B94AD0"/>
    <w:rsid w:val="00B966E0"/>
    <w:rsid w:val="00BA0EF0"/>
    <w:rsid w:val="00BA5C92"/>
    <w:rsid w:val="00BA70B9"/>
    <w:rsid w:val="00BA73F4"/>
    <w:rsid w:val="00BB1011"/>
    <w:rsid w:val="00BB1C64"/>
    <w:rsid w:val="00BB1CB8"/>
    <w:rsid w:val="00BB1D21"/>
    <w:rsid w:val="00BB3C2E"/>
    <w:rsid w:val="00BB4AAF"/>
    <w:rsid w:val="00BB5F95"/>
    <w:rsid w:val="00BC51D3"/>
    <w:rsid w:val="00BC5F6D"/>
    <w:rsid w:val="00BD61F1"/>
    <w:rsid w:val="00BD737D"/>
    <w:rsid w:val="00BE13B4"/>
    <w:rsid w:val="00BE5907"/>
    <w:rsid w:val="00C0186C"/>
    <w:rsid w:val="00C02A12"/>
    <w:rsid w:val="00C1100C"/>
    <w:rsid w:val="00C1386C"/>
    <w:rsid w:val="00C16958"/>
    <w:rsid w:val="00C16EDE"/>
    <w:rsid w:val="00C23957"/>
    <w:rsid w:val="00C250C5"/>
    <w:rsid w:val="00C3137C"/>
    <w:rsid w:val="00C34948"/>
    <w:rsid w:val="00C379BF"/>
    <w:rsid w:val="00C44E24"/>
    <w:rsid w:val="00C45CB4"/>
    <w:rsid w:val="00C501E5"/>
    <w:rsid w:val="00C52062"/>
    <w:rsid w:val="00C52EBF"/>
    <w:rsid w:val="00C540BC"/>
    <w:rsid w:val="00C55861"/>
    <w:rsid w:val="00C57FAE"/>
    <w:rsid w:val="00C626A3"/>
    <w:rsid w:val="00C62EDC"/>
    <w:rsid w:val="00C70AA4"/>
    <w:rsid w:val="00C76B4D"/>
    <w:rsid w:val="00C8047E"/>
    <w:rsid w:val="00C80705"/>
    <w:rsid w:val="00C8076F"/>
    <w:rsid w:val="00C808A2"/>
    <w:rsid w:val="00C80B8D"/>
    <w:rsid w:val="00C80BAD"/>
    <w:rsid w:val="00C812AF"/>
    <w:rsid w:val="00C82B6E"/>
    <w:rsid w:val="00C90616"/>
    <w:rsid w:val="00C91319"/>
    <w:rsid w:val="00C93FD9"/>
    <w:rsid w:val="00C9468A"/>
    <w:rsid w:val="00C95F40"/>
    <w:rsid w:val="00C96136"/>
    <w:rsid w:val="00C96762"/>
    <w:rsid w:val="00CA2E5D"/>
    <w:rsid w:val="00CA443F"/>
    <w:rsid w:val="00CA5473"/>
    <w:rsid w:val="00CA6BB3"/>
    <w:rsid w:val="00CB00A7"/>
    <w:rsid w:val="00CB0B3B"/>
    <w:rsid w:val="00CB0BEB"/>
    <w:rsid w:val="00CB2A3D"/>
    <w:rsid w:val="00CB4820"/>
    <w:rsid w:val="00CB5B6F"/>
    <w:rsid w:val="00CB608F"/>
    <w:rsid w:val="00CC38C0"/>
    <w:rsid w:val="00CC5410"/>
    <w:rsid w:val="00CD4476"/>
    <w:rsid w:val="00CD4F99"/>
    <w:rsid w:val="00CD54E7"/>
    <w:rsid w:val="00CE1835"/>
    <w:rsid w:val="00CF2A93"/>
    <w:rsid w:val="00CF41F0"/>
    <w:rsid w:val="00D06160"/>
    <w:rsid w:val="00D06F8D"/>
    <w:rsid w:val="00D074BF"/>
    <w:rsid w:val="00D11214"/>
    <w:rsid w:val="00D15323"/>
    <w:rsid w:val="00D1641E"/>
    <w:rsid w:val="00D21561"/>
    <w:rsid w:val="00D2184E"/>
    <w:rsid w:val="00D2286B"/>
    <w:rsid w:val="00D22DD6"/>
    <w:rsid w:val="00D2534F"/>
    <w:rsid w:val="00D2674D"/>
    <w:rsid w:val="00D302B9"/>
    <w:rsid w:val="00D30B5F"/>
    <w:rsid w:val="00D31FAF"/>
    <w:rsid w:val="00D346DD"/>
    <w:rsid w:val="00D40B1D"/>
    <w:rsid w:val="00D431C4"/>
    <w:rsid w:val="00D46E52"/>
    <w:rsid w:val="00D62944"/>
    <w:rsid w:val="00D63A5B"/>
    <w:rsid w:val="00D66D62"/>
    <w:rsid w:val="00D702CF"/>
    <w:rsid w:val="00D71138"/>
    <w:rsid w:val="00D71179"/>
    <w:rsid w:val="00D719C6"/>
    <w:rsid w:val="00D72EB5"/>
    <w:rsid w:val="00D75745"/>
    <w:rsid w:val="00D8104E"/>
    <w:rsid w:val="00D82568"/>
    <w:rsid w:val="00D85D06"/>
    <w:rsid w:val="00DA12D4"/>
    <w:rsid w:val="00DA3B2F"/>
    <w:rsid w:val="00DA6054"/>
    <w:rsid w:val="00DB0B7E"/>
    <w:rsid w:val="00DB3348"/>
    <w:rsid w:val="00DB388D"/>
    <w:rsid w:val="00DB51C0"/>
    <w:rsid w:val="00DC0064"/>
    <w:rsid w:val="00DC014F"/>
    <w:rsid w:val="00DC0225"/>
    <w:rsid w:val="00DC07B0"/>
    <w:rsid w:val="00DC2643"/>
    <w:rsid w:val="00DC33BD"/>
    <w:rsid w:val="00DC4989"/>
    <w:rsid w:val="00DC5B72"/>
    <w:rsid w:val="00DC6B16"/>
    <w:rsid w:val="00DC737C"/>
    <w:rsid w:val="00DD01B2"/>
    <w:rsid w:val="00DD1F6E"/>
    <w:rsid w:val="00DD5102"/>
    <w:rsid w:val="00DD6FE5"/>
    <w:rsid w:val="00DE0139"/>
    <w:rsid w:val="00DE2CBB"/>
    <w:rsid w:val="00DE3306"/>
    <w:rsid w:val="00DE4384"/>
    <w:rsid w:val="00DE6058"/>
    <w:rsid w:val="00DF0A99"/>
    <w:rsid w:val="00DF1EEC"/>
    <w:rsid w:val="00DF76FA"/>
    <w:rsid w:val="00DF7700"/>
    <w:rsid w:val="00E05937"/>
    <w:rsid w:val="00E0647F"/>
    <w:rsid w:val="00E07169"/>
    <w:rsid w:val="00E10E71"/>
    <w:rsid w:val="00E13327"/>
    <w:rsid w:val="00E212FA"/>
    <w:rsid w:val="00E22856"/>
    <w:rsid w:val="00E27D57"/>
    <w:rsid w:val="00E349AC"/>
    <w:rsid w:val="00E369F7"/>
    <w:rsid w:val="00E36A4E"/>
    <w:rsid w:val="00E42307"/>
    <w:rsid w:val="00E43946"/>
    <w:rsid w:val="00E451C1"/>
    <w:rsid w:val="00E51665"/>
    <w:rsid w:val="00E521CD"/>
    <w:rsid w:val="00E60D04"/>
    <w:rsid w:val="00E644AE"/>
    <w:rsid w:val="00E64628"/>
    <w:rsid w:val="00E673CF"/>
    <w:rsid w:val="00E706CF"/>
    <w:rsid w:val="00E72E82"/>
    <w:rsid w:val="00E759BD"/>
    <w:rsid w:val="00E97C6A"/>
    <w:rsid w:val="00EA042C"/>
    <w:rsid w:val="00EA1DEC"/>
    <w:rsid w:val="00EA23E5"/>
    <w:rsid w:val="00EB2BF0"/>
    <w:rsid w:val="00EB56F0"/>
    <w:rsid w:val="00EB6163"/>
    <w:rsid w:val="00EB62BE"/>
    <w:rsid w:val="00EC0A10"/>
    <w:rsid w:val="00EC0B9F"/>
    <w:rsid w:val="00EC3BE1"/>
    <w:rsid w:val="00EC4B2D"/>
    <w:rsid w:val="00EC50D1"/>
    <w:rsid w:val="00ED02A1"/>
    <w:rsid w:val="00ED22F7"/>
    <w:rsid w:val="00ED6DA3"/>
    <w:rsid w:val="00ED755F"/>
    <w:rsid w:val="00EE21F6"/>
    <w:rsid w:val="00EE34A2"/>
    <w:rsid w:val="00EE4E6A"/>
    <w:rsid w:val="00EE5402"/>
    <w:rsid w:val="00EE5B48"/>
    <w:rsid w:val="00EE5F75"/>
    <w:rsid w:val="00EE6276"/>
    <w:rsid w:val="00EF3781"/>
    <w:rsid w:val="00F05059"/>
    <w:rsid w:val="00F05559"/>
    <w:rsid w:val="00F101E7"/>
    <w:rsid w:val="00F118BE"/>
    <w:rsid w:val="00F13DD2"/>
    <w:rsid w:val="00F14EFD"/>
    <w:rsid w:val="00F15D42"/>
    <w:rsid w:val="00F2204E"/>
    <w:rsid w:val="00F3402C"/>
    <w:rsid w:val="00F417A2"/>
    <w:rsid w:val="00F41C32"/>
    <w:rsid w:val="00F50CC4"/>
    <w:rsid w:val="00F527CF"/>
    <w:rsid w:val="00F645EA"/>
    <w:rsid w:val="00F64BD2"/>
    <w:rsid w:val="00F656B7"/>
    <w:rsid w:val="00F656E8"/>
    <w:rsid w:val="00F67A9F"/>
    <w:rsid w:val="00F70B69"/>
    <w:rsid w:val="00F77170"/>
    <w:rsid w:val="00F826AB"/>
    <w:rsid w:val="00F9529A"/>
    <w:rsid w:val="00FB252C"/>
    <w:rsid w:val="00FB29DF"/>
    <w:rsid w:val="00FB31D1"/>
    <w:rsid w:val="00FB6379"/>
    <w:rsid w:val="00FB6D58"/>
    <w:rsid w:val="00FC0C86"/>
    <w:rsid w:val="00FC15A5"/>
    <w:rsid w:val="00FC2397"/>
    <w:rsid w:val="00FC25EB"/>
    <w:rsid w:val="00FC3677"/>
    <w:rsid w:val="00FC4633"/>
    <w:rsid w:val="00FC57E7"/>
    <w:rsid w:val="00FC5B5F"/>
    <w:rsid w:val="00FC7A15"/>
    <w:rsid w:val="00FC7BBB"/>
    <w:rsid w:val="00FD0BAE"/>
    <w:rsid w:val="00FD43AA"/>
    <w:rsid w:val="00FD7F7E"/>
    <w:rsid w:val="00FE0789"/>
    <w:rsid w:val="00FE5389"/>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link w:val="Heading1Char"/>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styleId="NoSpacing">
    <w:name w:val="No Spacing"/>
    <w:uiPriority w:val="1"/>
    <w:qFormat/>
    <w:rsid w:val="00633339"/>
    <w:rPr>
      <w:sz w:val="24"/>
      <w:szCs w:val="24"/>
    </w:rPr>
  </w:style>
  <w:style w:type="paragraph" w:customStyle="1" w:styleId="Default">
    <w:name w:val="Default"/>
    <w:rsid w:val="008F7350"/>
    <w:pPr>
      <w:autoSpaceDE w:val="0"/>
      <w:autoSpaceDN w:val="0"/>
      <w:adjustRightInd w:val="0"/>
    </w:pPr>
    <w:rPr>
      <w:color w:val="000000"/>
      <w:sz w:val="24"/>
      <w:szCs w:val="24"/>
    </w:rPr>
  </w:style>
  <w:style w:type="character" w:customStyle="1" w:styleId="Heading1Char">
    <w:name w:val="Heading 1 Char"/>
    <w:basedOn w:val="DefaultParagraphFont"/>
    <w:link w:val="Heading1"/>
    <w:rsid w:val="009A345B"/>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856384766">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pedge.sitenv.org/ttp/"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hr@drummondgroup.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rummondgroup.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tpedge.sitenv.org/ttp/" TargetMode="External"/><Relationship Id="rId4" Type="http://schemas.openxmlformats.org/officeDocument/2006/relationships/settings" Target="settings.xml"/><Relationship Id="rId9" Type="http://schemas.openxmlformats.org/officeDocument/2006/relationships/hyperlink" Target="https://ttpedge.sitenv.org/ttp/"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BF929-5A33-42E5-8E99-4FC216247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2857</Words>
  <Characters>16287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19106</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8</cp:revision>
  <dcterms:created xsi:type="dcterms:W3CDTF">2016-05-26T20:09:00Z</dcterms:created>
  <dcterms:modified xsi:type="dcterms:W3CDTF">2016-09-29T19:44:00Z</dcterms:modified>
</cp:coreProperties>
</file>