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4E22D6">
        <w:t>170.315.d.9</w:t>
      </w:r>
      <w:r w:rsidR="003E72FF" w:rsidRPr="00BD2A8D">
        <w:t xml:space="preserve"> – </w:t>
      </w:r>
      <w:r w:rsidR="004E22D6">
        <w:t>Trusted Connection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9D6088" w:rsidTr="00DC0225">
        <w:trPr>
          <w:trHeight w:val="331"/>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9D6088" w:rsidRPr="00DC0225" w:rsidRDefault="009D6088" w:rsidP="009D6088">
            <w:pPr>
              <w:rPr>
                <w:rFonts w:ascii="Leelawadee UI" w:hAnsi="Leelawadee UI" w:cs="Leelawadee UI"/>
              </w:rPr>
            </w:pPr>
          </w:p>
        </w:tc>
      </w:tr>
      <w:tr w:rsidR="009D6088" w:rsidTr="00DC0225">
        <w:trPr>
          <w:trHeight w:val="331"/>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9D6088" w:rsidRPr="00DC0225" w:rsidRDefault="009D6088" w:rsidP="009D6088">
            <w:pPr>
              <w:rPr>
                <w:rFonts w:ascii="Leelawadee UI" w:hAnsi="Leelawadee UI" w:cs="Leelawadee UI"/>
              </w:rPr>
            </w:pPr>
          </w:p>
        </w:tc>
      </w:tr>
      <w:tr w:rsidR="009D6088" w:rsidTr="00DC0225">
        <w:trPr>
          <w:trHeight w:val="331"/>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9D6088" w:rsidRPr="00DC0225" w:rsidRDefault="009D6088" w:rsidP="009D6088">
            <w:pPr>
              <w:rPr>
                <w:rFonts w:ascii="Leelawadee UI" w:hAnsi="Leelawadee UI" w:cs="Leelawadee UI"/>
              </w:rPr>
            </w:pPr>
          </w:p>
        </w:tc>
      </w:tr>
      <w:tr w:rsidR="009D6088" w:rsidTr="00DC0225">
        <w:trPr>
          <w:trHeight w:val="331"/>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9D6088" w:rsidRPr="00DC0225" w:rsidRDefault="009D6088" w:rsidP="009D6088">
            <w:pPr>
              <w:rPr>
                <w:rFonts w:ascii="Leelawadee UI" w:hAnsi="Leelawadee UI" w:cs="Leelawadee UI"/>
              </w:rPr>
            </w:pPr>
          </w:p>
        </w:tc>
      </w:tr>
      <w:tr w:rsidR="009D6088" w:rsidTr="00DC0225">
        <w:trPr>
          <w:trHeight w:val="350"/>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9D6088" w:rsidRPr="00DC0225" w:rsidRDefault="009D6088" w:rsidP="009D6088">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9D6088" w:rsidTr="00DC0225">
        <w:trPr>
          <w:trHeight w:val="350"/>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9D6088" w:rsidRPr="00DC0225" w:rsidRDefault="009D6088" w:rsidP="009D6088">
            <w:pPr>
              <w:rPr>
                <w:rFonts w:ascii="Leelawadee UI" w:hAnsi="Leelawadee UI" w:cs="Leelawadee UI"/>
              </w:rPr>
            </w:pPr>
          </w:p>
        </w:tc>
      </w:tr>
      <w:tr w:rsidR="009D6088" w:rsidTr="00DC0225">
        <w:trPr>
          <w:trHeight w:val="350"/>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9D6088" w:rsidRPr="00DC0225" w:rsidRDefault="009D6088" w:rsidP="009D6088">
            <w:pPr>
              <w:rPr>
                <w:rFonts w:ascii="Leelawadee UI" w:hAnsi="Leelawadee UI" w:cs="Leelawadee UI"/>
              </w:rPr>
            </w:pPr>
          </w:p>
        </w:tc>
      </w:tr>
      <w:tr w:rsidR="009D6088" w:rsidTr="00DC0225">
        <w:trPr>
          <w:trHeight w:val="350"/>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9D6088" w:rsidRPr="00DC0225" w:rsidRDefault="009D6088" w:rsidP="009D6088">
            <w:pPr>
              <w:rPr>
                <w:rFonts w:ascii="Leelawadee UI" w:hAnsi="Leelawadee UI" w:cs="Leelawadee UI"/>
              </w:rPr>
            </w:pPr>
          </w:p>
        </w:tc>
      </w:tr>
      <w:tr w:rsidR="009D6088" w:rsidTr="00DC0225">
        <w:trPr>
          <w:trHeight w:val="313"/>
        </w:trPr>
        <w:tc>
          <w:tcPr>
            <w:tcW w:w="4045" w:type="dxa"/>
            <w:shd w:val="clear" w:color="auto" w:fill="FFFFFF" w:themeFill="background1"/>
          </w:tcPr>
          <w:p w:rsidR="009D6088" w:rsidRPr="00DC0225" w:rsidRDefault="009D6088" w:rsidP="009D6088">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9D6088" w:rsidRPr="00DC0225" w:rsidRDefault="009D6088" w:rsidP="009D6088">
            <w:pPr>
              <w:rPr>
                <w:rFonts w:ascii="Leelawadee UI" w:hAnsi="Leelawadee UI" w:cs="Leelawadee UI"/>
              </w:rPr>
            </w:pPr>
          </w:p>
        </w:tc>
      </w:tr>
    </w:tbl>
    <w:p w:rsidR="004E01F0" w:rsidRDefault="004E01F0" w:rsidP="004E01F0">
      <w:pPr>
        <w:pStyle w:val="Heading3"/>
      </w:pPr>
      <w:r>
        <w:t>Overview</w:t>
      </w:r>
    </w:p>
    <w:p w:rsidR="004E01F0" w:rsidRDefault="004E01F0" w:rsidP="004E01F0">
      <w:r>
        <w:t>In this document you will find:</w:t>
      </w:r>
    </w:p>
    <w:p w:rsidR="004E01F0" w:rsidRDefault="00E37FEE" w:rsidP="004E01F0">
      <w:pPr>
        <w:pStyle w:val="ListParagraph"/>
        <w:numPr>
          <w:ilvl w:val="0"/>
          <w:numId w:val="39"/>
        </w:numPr>
      </w:pPr>
      <w:hyperlink w:anchor="_Test_Data_and" w:history="1">
        <w:r w:rsidR="004E01F0">
          <w:rPr>
            <w:rStyle w:val="Hyperlink"/>
          </w:rPr>
          <w:t>Test Data and Test Tools</w:t>
        </w:r>
      </w:hyperlink>
    </w:p>
    <w:p w:rsidR="004E01F0" w:rsidRDefault="00E37FEE" w:rsidP="004E01F0">
      <w:pPr>
        <w:pStyle w:val="ListParagraph"/>
        <w:numPr>
          <w:ilvl w:val="0"/>
          <w:numId w:val="39"/>
        </w:numPr>
      </w:pPr>
      <w:hyperlink w:anchor="_Demonstrate_Standards_Support" w:history="1">
        <w:r w:rsidR="004E01F0">
          <w:rPr>
            <w:rStyle w:val="Hyperlink"/>
          </w:rPr>
          <w:t>Standards Support</w:t>
        </w:r>
      </w:hyperlink>
    </w:p>
    <w:p w:rsidR="004E01F0" w:rsidRPr="00241B8B" w:rsidRDefault="00E37FEE" w:rsidP="004E01F0">
      <w:pPr>
        <w:pStyle w:val="ListParagraph"/>
        <w:numPr>
          <w:ilvl w:val="0"/>
          <w:numId w:val="39"/>
        </w:numPr>
        <w:rPr>
          <w:rStyle w:val="Hyperlink"/>
          <w:color w:val="auto"/>
          <w:u w:val="none"/>
        </w:rPr>
      </w:pPr>
      <w:hyperlink w:anchor="_170.315.d.9_(i)_–" w:history="1">
        <w:r w:rsidR="004E01F0">
          <w:rPr>
            <w:rStyle w:val="Hyperlink"/>
          </w:rPr>
          <w:t>Drummond Test Report (Instructions, Expected Results, Points to Remember)</w:t>
        </w:r>
      </w:hyperlink>
    </w:p>
    <w:p w:rsidR="004E01F0" w:rsidRPr="00241B8B" w:rsidRDefault="00E37FEE" w:rsidP="004E01F0">
      <w:pPr>
        <w:pStyle w:val="ListParagraph"/>
        <w:numPr>
          <w:ilvl w:val="0"/>
          <w:numId w:val="39"/>
        </w:numPr>
        <w:rPr>
          <w:rStyle w:val="Hyperlink"/>
          <w:color w:val="auto"/>
          <w:u w:val="none"/>
        </w:rPr>
      </w:pPr>
      <w:hyperlink w:anchor="_Test_Procedures" w:history="1">
        <w:r w:rsidR="004E01F0" w:rsidRPr="00241B8B">
          <w:rPr>
            <w:rStyle w:val="Hyperlink"/>
          </w:rPr>
          <w:t>Test Procedures</w:t>
        </w:r>
      </w:hyperlink>
    </w:p>
    <w:p w:rsidR="004E01F0" w:rsidRDefault="00E37FEE" w:rsidP="004E01F0">
      <w:pPr>
        <w:pStyle w:val="ListParagraph"/>
        <w:numPr>
          <w:ilvl w:val="0"/>
          <w:numId w:val="39"/>
        </w:numPr>
      </w:pPr>
      <w:hyperlink w:anchor="_Appendix_A:_Testing" w:history="1">
        <w:r w:rsidR="004E01F0" w:rsidRPr="00241B8B">
          <w:rPr>
            <w:rStyle w:val="Hyperlink"/>
          </w:rPr>
          <w:t>Appendix A: Testing Guide</w:t>
        </w:r>
      </w:hyperlink>
    </w:p>
    <w:p w:rsidR="004E01F0" w:rsidRDefault="00E37FEE" w:rsidP="004E01F0">
      <w:pPr>
        <w:pStyle w:val="ListParagraph"/>
        <w:numPr>
          <w:ilvl w:val="0"/>
          <w:numId w:val="39"/>
        </w:numPr>
      </w:pPr>
      <w:hyperlink w:anchor="_Appendix_B:_ONC" w:history="1">
        <w:r w:rsidR="004E01F0">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DF20C5"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E01F0">
        <w:t>Health IT developer</w:t>
      </w:r>
      <w:r w:rsidR="007902A0">
        <w:t xml:space="preserve"> or Participant </w:t>
      </w:r>
      <w:r w:rsidR="004E01F0">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4E01F0" w:rsidRDefault="004E01F0">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967EEA">
            <w:pPr>
              <w:rPr>
                <w:rFonts w:ascii="Leelawadee UI" w:hAnsi="Leelawadee UI" w:cs="Leelawadee UI"/>
              </w:rPr>
            </w:pPr>
            <w:r>
              <w:rPr>
                <w:rFonts w:ascii="Leelawadee UI" w:hAnsi="Leelawadee UI" w:cs="Leelawadee UI"/>
              </w:rPr>
              <w:t>ONC-Supplied</w:t>
            </w:r>
            <w:r w:rsidR="004E01F0">
              <w:rPr>
                <w:rFonts w:ascii="Leelawadee UI" w:hAnsi="Leelawadee UI" w:cs="Leelawadee UI"/>
              </w:rPr>
              <w:t>:</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4E01F0">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4E01F0" w:rsidRDefault="009D5A77" w:rsidP="004E01F0">
            <w:pPr>
              <w:pStyle w:val="ListParagraph"/>
              <w:rPr>
                <w:rFonts w:ascii="Leelawadee UI" w:hAnsi="Leelawadee UI" w:cs="Leelawadee UI"/>
              </w:rPr>
            </w:pPr>
            <w:r w:rsidRPr="004E01F0">
              <w:rPr>
                <w:rFonts w:ascii="Leelawadee UI" w:hAnsi="Leelawadee UI" w:cs="Leelawadee UI"/>
              </w:rPr>
              <w:t>Not applicable</w:t>
            </w:r>
            <w:r w:rsidR="004E01F0">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101400" w:rsidRDefault="004E01F0" w:rsidP="004E01F0">
            <w:pPr>
              <w:pStyle w:val="ListParagraph"/>
              <w:rPr>
                <w:b/>
              </w:rPr>
            </w:pPr>
            <w:r>
              <w:rPr>
                <w:rFonts w:ascii="Leelawadee UI" w:hAnsi="Leelawadee UI" w:cs="Leelawadee UI"/>
              </w:rPr>
              <w:t>D</w:t>
            </w:r>
            <w:r w:rsidRPr="004E01F0">
              <w:rPr>
                <w:rFonts w:ascii="Leelawadee UI" w:hAnsi="Leelawadee UI" w:cs="Leelawadee UI"/>
              </w:rPr>
              <w:t>eveloper</w:t>
            </w:r>
            <w:r w:rsidR="00AB0725">
              <w:rPr>
                <w:rFonts w:ascii="Leelawadee UI" w:hAnsi="Leelawadee UI" w:cs="Leelawadee UI"/>
              </w:rPr>
              <w:t xml:space="preserve"> </w:t>
            </w:r>
            <w:r>
              <w:rPr>
                <w:rFonts w:ascii="Leelawadee UI" w:hAnsi="Leelawadee UI" w:cs="Leelawadee UI"/>
              </w:rPr>
              <w:t>s</w:t>
            </w:r>
            <w:r w:rsidR="00AB0725">
              <w:rPr>
                <w:rFonts w:ascii="Leelawadee UI" w:hAnsi="Leelawadee UI" w:cs="Leelawadee UI"/>
              </w:rPr>
              <w:t>upplies</w:t>
            </w:r>
            <w:r>
              <w:rPr>
                <w:rFonts w:ascii="Leelawadee UI" w:hAnsi="Leelawadee UI" w:cs="Leelawadee UI"/>
              </w:rPr>
              <w:t xml:space="preserve"> authorized user and</w:t>
            </w:r>
            <w:r w:rsidR="000C1FDB" w:rsidRPr="004E01F0">
              <w:rPr>
                <w:rFonts w:ascii="Leelawadee UI" w:hAnsi="Leelawadee UI" w:cs="Leelawadee UI"/>
              </w:rPr>
              <w:t xml:space="preserve"> patient test data as needed to demonstrate </w:t>
            </w:r>
            <w:r w:rsidR="00CA2DC4" w:rsidRPr="004E01F0">
              <w:rPr>
                <w:rFonts w:ascii="Leelawadee UI" w:hAnsi="Leelawadee UI" w:cs="Leelawadee UI"/>
              </w:rPr>
              <w:t>Trusted Connection</w:t>
            </w:r>
            <w:r w:rsidR="000C1FDB" w:rsidRPr="004E01F0">
              <w:rPr>
                <w:rFonts w:ascii="Leelawadee UI" w:hAnsi="Leelawadee UI" w:cs="Leelawadee UI"/>
              </w:rPr>
              <w:t xml:space="preserve"> functionality</w:t>
            </w:r>
            <w:r w:rsidR="000C1FDB" w:rsidRPr="00101400">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4E01F0" w:rsidRDefault="009D5A77" w:rsidP="009D5A77">
            <w:pPr>
              <w:pStyle w:val="ListParagraph"/>
              <w:numPr>
                <w:ilvl w:val="0"/>
                <w:numId w:val="29"/>
              </w:numPr>
              <w:rPr>
                <w:rFonts w:ascii="Leelawadee UI" w:hAnsi="Leelawadee UI" w:cs="Leelawadee UI"/>
              </w:rPr>
            </w:pPr>
            <w:r w:rsidRPr="004E01F0">
              <w:rPr>
                <w:rFonts w:ascii="Leelawadee UI" w:hAnsi="Leelawadee UI" w:cs="Leelawadee UI"/>
              </w:rPr>
              <w:t>Not applicable</w:t>
            </w:r>
            <w:r w:rsidR="004E01F0">
              <w:rPr>
                <w:rFonts w:ascii="Leelawadee UI" w:hAnsi="Leelawadee UI" w:cs="Leelawadee UI"/>
              </w:rPr>
              <w:t>.</w:t>
            </w:r>
          </w:p>
        </w:tc>
      </w:tr>
    </w:tbl>
    <w:p w:rsidR="009D5A77" w:rsidRDefault="009D5A77" w:rsidP="009D5A77"/>
    <w:p w:rsidR="00102347" w:rsidRDefault="00102347">
      <w:pPr>
        <w:rPr>
          <w:rFonts w:ascii="Arial" w:hAnsi="Arial" w:cs="Arial"/>
          <w:b/>
          <w:bCs/>
          <w:kern w:val="32"/>
          <w:sz w:val="32"/>
          <w:szCs w:val="32"/>
        </w:rPr>
      </w:pPr>
      <w:r>
        <w:br w:type="page"/>
      </w:r>
    </w:p>
    <w:p w:rsidR="009B4D4A" w:rsidRDefault="009B4D4A" w:rsidP="009B4D4A">
      <w:pPr>
        <w:pStyle w:val="Heading1"/>
      </w:pPr>
      <w:bookmarkStart w:id="4" w:name="_Demonstrate_Standards_Support"/>
      <w:bookmarkEnd w:id="4"/>
      <w:r>
        <w:lastRenderedPageBreak/>
        <w:t>Demonstrate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rsidTr="008863E3">
        <w:trPr>
          <w:trHeight w:val="432"/>
        </w:trPr>
        <w:tc>
          <w:tcPr>
            <w:tcW w:w="3870" w:type="dxa"/>
            <w:shd w:val="clear" w:color="auto" w:fill="DBE5F1" w:themeFill="accent1" w:themeFillTint="33"/>
          </w:tcPr>
          <w:p w:rsidR="009B4D4A" w:rsidRPr="00255DC9" w:rsidRDefault="009B4D4A"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9B4D4A" w:rsidRPr="00255DC9" w:rsidRDefault="009B4D4A"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8863E3">
        <w:trPr>
          <w:trHeight w:val="432"/>
        </w:trPr>
        <w:tc>
          <w:tcPr>
            <w:tcW w:w="8730" w:type="dxa"/>
            <w:gridSpan w:val="2"/>
            <w:shd w:val="clear" w:color="auto" w:fill="DBE5F1" w:themeFill="accent1" w:themeFillTint="33"/>
          </w:tcPr>
          <w:p w:rsidR="009B4D4A" w:rsidRDefault="009B4D4A" w:rsidP="008863E3">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Pr="00102347">
              <w:rPr>
                <w:rFonts w:ascii="Leelawadee UI" w:hAnsi="Leelawadee UI" w:cs="Leelawadee UI"/>
              </w:rPr>
              <w:t>Verify</w:t>
            </w:r>
            <w:r w:rsidR="005F0E87">
              <w:rPr>
                <w:rFonts w:ascii="Leelawadee UI" w:hAnsi="Leelawadee UI" w:cs="Leelawadee UI"/>
              </w:rPr>
              <w:t xml:space="preserve"> health IT</w:t>
            </w:r>
            <w:r w:rsidR="007F6B57" w:rsidRPr="00102347">
              <w:rPr>
                <w:rFonts w:ascii="Leelawadee UI" w:hAnsi="Leelawadee UI" w:cs="Leelawadee UI"/>
              </w:rPr>
              <w:t xml:space="preserve"> module </w:t>
            </w:r>
            <w:r w:rsidRPr="00102347">
              <w:rPr>
                <w:rFonts w:ascii="Leelawadee UI" w:hAnsi="Leelawadee UI" w:cs="Leelawadee UI"/>
              </w:rPr>
              <w:t>supports the required standards.  See “Appendix B” for further details.</w:t>
            </w:r>
          </w:p>
          <w:p w:rsidR="009B4D4A" w:rsidRPr="00EE7D84" w:rsidRDefault="009B4D4A" w:rsidP="008863E3">
            <w:pPr>
              <w:pStyle w:val="ListParagraph"/>
              <w:rPr>
                <w:rFonts w:ascii="Leelawadee UI" w:hAnsi="Leelawadee UI" w:cs="Leelawadee UI"/>
              </w:rPr>
            </w:pP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418"/>
        <w:gridCol w:w="5760"/>
      </w:tblGrid>
      <w:tr w:rsidR="00102347" w:rsidTr="008E51C7">
        <w:trPr>
          <w:trHeight w:val="512"/>
        </w:trPr>
        <w:tc>
          <w:tcPr>
            <w:tcW w:w="552" w:type="dxa"/>
            <w:shd w:val="clear" w:color="auto" w:fill="DBE5F1" w:themeFill="accent1" w:themeFillTint="33"/>
          </w:tcPr>
          <w:p w:rsidR="00102347" w:rsidRPr="004748BF" w:rsidRDefault="00102347" w:rsidP="008863E3"/>
        </w:tc>
        <w:tc>
          <w:tcPr>
            <w:tcW w:w="2418" w:type="dxa"/>
            <w:shd w:val="clear" w:color="auto" w:fill="DBE5F1" w:themeFill="accent1" w:themeFillTint="33"/>
          </w:tcPr>
          <w:p w:rsidR="00102347" w:rsidRPr="005F4354" w:rsidRDefault="00102347" w:rsidP="008863E3">
            <w:pPr>
              <w:rPr>
                <w:rFonts w:ascii="Leelawadee UI" w:hAnsi="Leelawadee UI" w:cs="Leelawadee UI"/>
                <w:b/>
              </w:rPr>
            </w:pPr>
            <w:r w:rsidRPr="005F4354">
              <w:rPr>
                <w:rFonts w:ascii="Leelawadee UI" w:hAnsi="Leelawadee UI" w:cs="Leelawadee UI"/>
                <w:b/>
              </w:rPr>
              <w:t>Standard</w:t>
            </w:r>
          </w:p>
        </w:tc>
        <w:tc>
          <w:tcPr>
            <w:tcW w:w="5760" w:type="dxa"/>
            <w:shd w:val="clear" w:color="auto" w:fill="DBE5F1" w:themeFill="accent1" w:themeFillTint="33"/>
          </w:tcPr>
          <w:p w:rsidR="00102347" w:rsidRPr="005F4354" w:rsidRDefault="00102347" w:rsidP="008863E3">
            <w:pPr>
              <w:rPr>
                <w:rFonts w:ascii="Leelawadee UI" w:hAnsi="Leelawadee UI" w:cs="Leelawadee UI"/>
                <w:b/>
              </w:rPr>
            </w:pPr>
          </w:p>
        </w:tc>
      </w:tr>
      <w:tr w:rsidR="00102347" w:rsidTr="00102347">
        <w:trPr>
          <w:trHeight w:val="432"/>
        </w:trPr>
        <w:sdt>
          <w:sdtPr>
            <w:id w:val="399182296"/>
            <w14:checkbox>
              <w14:checked w14:val="0"/>
              <w14:checkedState w14:val="2612" w14:font="Arial Unicode MS"/>
              <w14:uncheckedState w14:val="2610" w14:font="Arial Unicode MS"/>
            </w14:checkbox>
          </w:sdtPr>
          <w:sdtEndPr/>
          <w:sdtContent>
            <w:tc>
              <w:tcPr>
                <w:tcW w:w="552" w:type="dxa"/>
              </w:tcPr>
              <w:p w:rsidR="00102347" w:rsidRDefault="00102347" w:rsidP="008863E3">
                <w:r>
                  <w:rPr>
                    <w:rFonts w:ascii="MS Gothic" w:eastAsia="MS Gothic" w:hAnsi="MS Gothic" w:hint="eastAsia"/>
                  </w:rPr>
                  <w:t>☐</w:t>
                </w:r>
              </w:p>
            </w:tc>
          </w:sdtContent>
        </w:sdt>
        <w:tc>
          <w:tcPr>
            <w:tcW w:w="2418" w:type="dxa"/>
          </w:tcPr>
          <w:p w:rsidR="00102347" w:rsidRPr="00B35ED9" w:rsidRDefault="00102347" w:rsidP="00102347">
            <w:r w:rsidRPr="00B35ED9">
              <w:t>§170.210(a)(2)</w:t>
            </w:r>
          </w:p>
        </w:tc>
        <w:tc>
          <w:tcPr>
            <w:tcW w:w="5760" w:type="dxa"/>
          </w:tcPr>
          <w:p w:rsidR="002D5304" w:rsidRPr="009B4D4A" w:rsidRDefault="00102347" w:rsidP="002D5304">
            <w:r w:rsidRPr="00B35ED9">
              <w:t>Encryption and decryption of electronic health information</w:t>
            </w:r>
            <w:r w:rsidR="00737100">
              <w:t>.</w:t>
            </w:r>
            <w:r w:rsidR="002D5304">
              <w:t xml:space="preserve">  </w:t>
            </w:r>
            <w:hyperlink r:id="rId8" w:history="1">
              <w:r w:rsidR="002D5304">
                <w:rPr>
                  <w:rStyle w:val="Hyperlink"/>
                </w:rPr>
                <w:t>Annex A: Federal Information Processing Standards (FIPS) Publication 140-2, Security Requirements for Cryptographic Modules, October 2014</w:t>
              </w:r>
            </w:hyperlink>
            <w:r w:rsidR="002D5304">
              <w:t xml:space="preserve"> </w:t>
            </w:r>
          </w:p>
        </w:tc>
      </w:tr>
      <w:tr w:rsidR="00102347" w:rsidTr="00102347">
        <w:trPr>
          <w:trHeight w:val="432"/>
        </w:trPr>
        <w:sdt>
          <w:sdtPr>
            <w:id w:val="1592509753"/>
            <w14:checkbox>
              <w14:checked w14:val="0"/>
              <w14:checkedState w14:val="2612" w14:font="Arial Unicode MS"/>
              <w14:uncheckedState w14:val="2610" w14:font="Arial Unicode MS"/>
            </w14:checkbox>
          </w:sdtPr>
          <w:sdtEndPr/>
          <w:sdtContent>
            <w:tc>
              <w:tcPr>
                <w:tcW w:w="552" w:type="dxa"/>
              </w:tcPr>
              <w:p w:rsidR="00102347" w:rsidRDefault="00102347" w:rsidP="008863E3">
                <w:r>
                  <w:rPr>
                    <w:rFonts w:ascii="MS Gothic" w:eastAsia="MS Gothic" w:hAnsi="MS Gothic" w:hint="eastAsia"/>
                  </w:rPr>
                  <w:t>☐</w:t>
                </w:r>
              </w:p>
            </w:tc>
          </w:sdtContent>
        </w:sdt>
        <w:tc>
          <w:tcPr>
            <w:tcW w:w="2418" w:type="dxa"/>
          </w:tcPr>
          <w:p w:rsidR="00102347" w:rsidRDefault="00102347" w:rsidP="00102347">
            <w:r>
              <w:t>§170.210(c</w:t>
            </w:r>
            <w:r w:rsidRPr="00B35ED9">
              <w:t xml:space="preserve">)(2) </w:t>
            </w:r>
          </w:p>
          <w:p w:rsidR="00102347" w:rsidRDefault="00102347" w:rsidP="00C3657C"/>
        </w:tc>
        <w:tc>
          <w:tcPr>
            <w:tcW w:w="5760" w:type="dxa"/>
          </w:tcPr>
          <w:p w:rsidR="00102347" w:rsidRPr="00B35ED9" w:rsidRDefault="00102347" w:rsidP="008E51C7">
            <w:r w:rsidRPr="00B35ED9">
              <w:t>Encryption and decryption of electronic health information.</w:t>
            </w:r>
            <w:r w:rsidR="00737100">
              <w:t xml:space="preserve">  </w:t>
            </w:r>
            <w:r>
              <w:t>A hashing algorithm with a security strength equal to or greater than SHA-2 as</w:t>
            </w:r>
            <w:r w:rsidR="008E51C7">
              <w:t xml:space="preserve"> specified by NIST </w:t>
            </w:r>
            <w:r w:rsidR="008E51C7" w:rsidRPr="0056014B">
              <w:t>in</w:t>
            </w:r>
            <w:r w:rsidR="008E51C7">
              <w:t xml:space="preserve"> </w:t>
            </w:r>
            <w:hyperlink r:id="rId9" w:history="1">
              <w:r w:rsidR="008E51C7">
                <w:rPr>
                  <w:rStyle w:val="Hyperlink"/>
                </w:rPr>
                <w:t>FIPS Publication 180-4, Secure Hash Standard, 180-4 (August 2015)</w:t>
              </w:r>
            </w:hyperlink>
            <w:r>
              <w:rPr>
                <w:rStyle w:val="Hyperlink"/>
              </w:rPr>
              <w:t>.</w:t>
            </w:r>
          </w:p>
        </w:tc>
      </w:tr>
    </w:tbl>
    <w:p w:rsidR="009B4D4A" w:rsidRDefault="009B4D4A" w:rsidP="009B4D4A">
      <w:pPr>
        <w:spacing w:line="360" w:lineRule="auto"/>
        <w:rPr>
          <w:color w:val="D9D9D9" w:themeColor="background1" w:themeShade="D9"/>
        </w:rPr>
      </w:pPr>
    </w:p>
    <w:p w:rsidR="009B4D4A" w:rsidRDefault="009B4D4A" w:rsidP="009B4D4A">
      <w:pPr>
        <w:spacing w:line="360" w:lineRule="auto"/>
        <w:rPr>
          <w:color w:val="D9D9D9" w:themeColor="background1" w:themeShade="D9"/>
        </w:rPr>
      </w:pPr>
    </w:p>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p>
    <w:p w:rsidR="001611F5" w:rsidRDefault="001611F5">
      <w:pPr>
        <w:rPr>
          <w:rFonts w:ascii="Arial" w:hAnsi="Arial" w:cs="Arial"/>
          <w:b/>
          <w:bCs/>
          <w:kern w:val="32"/>
          <w:sz w:val="32"/>
          <w:szCs w:val="32"/>
        </w:rPr>
      </w:pPr>
      <w:r>
        <w:br w:type="page"/>
      </w:r>
    </w:p>
    <w:p w:rsidR="00F8311E" w:rsidRDefault="00F8311E" w:rsidP="004B79E8">
      <w:pPr>
        <w:pStyle w:val="Heading1"/>
      </w:pPr>
      <w:bookmarkStart w:id="5" w:name="_170.315.d.9_(i)_–"/>
      <w:bookmarkEnd w:id="5"/>
      <w:r>
        <w:lastRenderedPageBreak/>
        <w:t>170.315</w:t>
      </w:r>
      <w:proofErr w:type="gramStart"/>
      <w:r>
        <w:t>.d.9</w:t>
      </w:r>
      <w:proofErr w:type="gramEnd"/>
      <w:r>
        <w:t xml:space="preserve"> (</w:t>
      </w:r>
      <w:proofErr w:type="spellStart"/>
      <w:r>
        <w:t>i</w:t>
      </w:r>
      <w:proofErr w:type="spellEnd"/>
      <w:r>
        <w:t>)</w:t>
      </w:r>
      <w:r w:rsidRPr="00BD2A8D">
        <w:t xml:space="preserve"> – </w:t>
      </w:r>
      <w:r w:rsidR="00CA2E62">
        <w:t>Trusted Connection: Message-l</w:t>
      </w:r>
      <w:r>
        <w:t>evel</w:t>
      </w:r>
    </w:p>
    <w:p w:rsidR="004B79E8" w:rsidRPr="00255DC9" w:rsidRDefault="004B79E8" w:rsidP="004B79E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4B79E8" w:rsidTr="00102C49">
        <w:trPr>
          <w:trHeight w:val="432"/>
        </w:trPr>
        <w:tc>
          <w:tcPr>
            <w:tcW w:w="3150" w:type="dxa"/>
            <w:shd w:val="clear" w:color="auto" w:fill="DBE5F1" w:themeFill="accent1" w:themeFillTint="33"/>
          </w:tcPr>
          <w:p w:rsidR="004B79E8" w:rsidRPr="00255DC9" w:rsidRDefault="004B79E8"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580" w:type="dxa"/>
            <w:shd w:val="clear" w:color="auto" w:fill="DBE5F1" w:themeFill="accent1" w:themeFillTint="33"/>
          </w:tcPr>
          <w:p w:rsidR="004B79E8" w:rsidRPr="00255DC9" w:rsidRDefault="004B79E8"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3956027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1168009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20456420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02C49" w:rsidTr="00102C49">
        <w:trPr>
          <w:trHeight w:val="432"/>
        </w:trPr>
        <w:tc>
          <w:tcPr>
            <w:tcW w:w="3150" w:type="dxa"/>
            <w:shd w:val="clear" w:color="auto" w:fill="DBE5F1" w:themeFill="accent1" w:themeFillTint="33"/>
          </w:tcPr>
          <w:p w:rsidR="00102C49" w:rsidRDefault="00102C49" w:rsidP="008863E3">
            <w:pPr>
              <w:rPr>
                <w:rFonts w:ascii="Leelawadee UI" w:hAnsi="Leelawadee UI" w:cs="Leelawadee UI"/>
                <w:b/>
              </w:rPr>
            </w:pPr>
            <w:r>
              <w:rPr>
                <w:rFonts w:ascii="Leelawadee UI" w:hAnsi="Leelawadee UI" w:cs="Leelawadee UI"/>
                <w:b/>
              </w:rPr>
              <w:t>P&amp;S applies to all criteria:</w:t>
            </w:r>
          </w:p>
        </w:tc>
        <w:tc>
          <w:tcPr>
            <w:tcW w:w="5580" w:type="dxa"/>
            <w:shd w:val="clear" w:color="auto" w:fill="DBE5F1" w:themeFill="accent1" w:themeFillTint="33"/>
          </w:tcPr>
          <w:p w:rsidR="00102C49" w:rsidRPr="00255DC9" w:rsidRDefault="00102C49" w:rsidP="00102C49">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44304426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20000723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p>
        </w:tc>
      </w:tr>
      <w:tr w:rsidR="00102C49" w:rsidTr="00102C49">
        <w:trPr>
          <w:trHeight w:val="432"/>
        </w:trPr>
        <w:tc>
          <w:tcPr>
            <w:tcW w:w="3150" w:type="dxa"/>
            <w:shd w:val="clear" w:color="auto" w:fill="DBE5F1" w:themeFill="accent1" w:themeFillTint="33"/>
          </w:tcPr>
          <w:p w:rsidR="00102C49" w:rsidRDefault="00102C49" w:rsidP="008863E3">
            <w:pPr>
              <w:rPr>
                <w:rFonts w:ascii="Leelawadee UI" w:hAnsi="Leelawadee UI" w:cs="Leelawadee UI"/>
                <w:b/>
              </w:rPr>
            </w:pPr>
            <w:r>
              <w:rPr>
                <w:rFonts w:ascii="Leelawadee UI" w:hAnsi="Leelawadee UI" w:cs="Leelawadee UI"/>
                <w:b/>
              </w:rPr>
              <w:t>If not, list applicable criteria:</w:t>
            </w:r>
          </w:p>
        </w:tc>
        <w:tc>
          <w:tcPr>
            <w:tcW w:w="5580" w:type="dxa"/>
            <w:shd w:val="clear" w:color="auto" w:fill="DBE5F1" w:themeFill="accent1" w:themeFillTint="33"/>
          </w:tcPr>
          <w:p w:rsidR="00102C49" w:rsidRPr="00255DC9" w:rsidRDefault="00102C49" w:rsidP="008863E3">
            <w:pPr>
              <w:rPr>
                <w:rFonts w:ascii="Leelawadee UI" w:hAnsi="Leelawadee UI" w:cs="Leelawadee UI"/>
                <w:b/>
              </w:rPr>
            </w:pPr>
          </w:p>
        </w:tc>
      </w:tr>
      <w:tr w:rsidR="00C8433E" w:rsidTr="00102C49">
        <w:trPr>
          <w:trHeight w:val="432"/>
        </w:trPr>
        <w:tc>
          <w:tcPr>
            <w:tcW w:w="3150" w:type="dxa"/>
            <w:shd w:val="clear" w:color="auto" w:fill="DBE5F1" w:themeFill="accent1" w:themeFillTint="33"/>
          </w:tcPr>
          <w:p w:rsidR="00C8433E" w:rsidRPr="00255DC9" w:rsidRDefault="00C8433E" w:rsidP="008863E3">
            <w:pPr>
              <w:rPr>
                <w:rFonts w:ascii="Leelawadee UI" w:hAnsi="Leelawadee UI" w:cs="Leelawadee UI"/>
                <w:b/>
              </w:rPr>
            </w:pPr>
            <w:r>
              <w:rPr>
                <w:rFonts w:ascii="Leelawadee UI" w:hAnsi="Leelawadee UI" w:cs="Leelawadee UI"/>
                <w:b/>
              </w:rPr>
              <w:t>Encryption and Hashing Algorithm:</w:t>
            </w:r>
          </w:p>
        </w:tc>
        <w:tc>
          <w:tcPr>
            <w:tcW w:w="5580" w:type="dxa"/>
            <w:shd w:val="clear" w:color="auto" w:fill="DBE5F1" w:themeFill="accent1" w:themeFillTint="33"/>
          </w:tcPr>
          <w:p w:rsidR="00C8433E" w:rsidRPr="00255DC9" w:rsidRDefault="00C8433E" w:rsidP="008863E3">
            <w:pPr>
              <w:rPr>
                <w:rFonts w:ascii="Leelawadee UI" w:hAnsi="Leelawadee UI" w:cs="Leelawadee UI"/>
                <w:b/>
              </w:rPr>
            </w:pPr>
          </w:p>
        </w:tc>
      </w:tr>
      <w:tr w:rsidR="004B79E8" w:rsidTr="008863E3">
        <w:trPr>
          <w:trHeight w:val="432"/>
        </w:trPr>
        <w:tc>
          <w:tcPr>
            <w:tcW w:w="8730" w:type="dxa"/>
            <w:gridSpan w:val="2"/>
            <w:shd w:val="clear" w:color="auto" w:fill="DBE5F1" w:themeFill="accent1" w:themeFillTint="33"/>
          </w:tcPr>
          <w:p w:rsidR="004B79E8" w:rsidRDefault="004B79E8" w:rsidP="008863E3">
            <w:r w:rsidRPr="00255DC9">
              <w:rPr>
                <w:rFonts w:ascii="Leelawadee UI" w:hAnsi="Leelawadee UI" w:cs="Leelawadee UI"/>
                <w:b/>
              </w:rPr>
              <w:t>Instructions:</w:t>
            </w:r>
            <w:r w:rsidRPr="00255DC9">
              <w:rPr>
                <w:rFonts w:ascii="Leelawadee UI" w:hAnsi="Leelawadee UI" w:cs="Leelawadee UI"/>
              </w:rPr>
              <w:t xml:space="preserve"> </w:t>
            </w:r>
          </w:p>
          <w:p w:rsidR="007A3DF8" w:rsidRPr="008C3B5F" w:rsidRDefault="004E01F0" w:rsidP="00231F99">
            <w:pPr>
              <w:pStyle w:val="ListParagraph"/>
              <w:numPr>
                <w:ilvl w:val="0"/>
                <w:numId w:val="29"/>
              </w:numPr>
            </w:pPr>
            <w:r>
              <w:t>Health IT developer</w:t>
            </w:r>
            <w:r w:rsidR="00E442E6">
              <w:t xml:space="preserve"> uses the HIT module to send</w:t>
            </w:r>
            <w:r w:rsidR="00BB5DFE">
              <w:t>/receive</w:t>
            </w:r>
            <w:r w:rsidR="00E442E6">
              <w:t xml:space="preserve"> en</w:t>
            </w:r>
            <w:r w:rsidR="007A3DF8">
              <w:t>crypted and integrity protected</w:t>
            </w:r>
            <w:r w:rsidR="00231F99">
              <w:t xml:space="preserve"> messages</w:t>
            </w:r>
            <w:r w:rsidR="007A3DF8">
              <w:t>.</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sidRPr="00255DC9">
              <w:rPr>
                <w:rFonts w:ascii="Leelawadee UI" w:hAnsi="Leelawadee UI" w:cs="Leelawadee UI"/>
                <w:b/>
              </w:rPr>
              <w:t xml:space="preserve">Expected Test Result: </w:t>
            </w:r>
          </w:p>
          <w:p w:rsidR="00EF01ED" w:rsidRDefault="00EF01ED" w:rsidP="00EF01ED">
            <w:pPr>
              <w:numPr>
                <w:ilvl w:val="0"/>
                <w:numId w:val="27"/>
              </w:numPr>
            </w:pPr>
            <w:r>
              <w:t>Encrypt and integrity protect message contents in accordance with the standards specified at §</w:t>
            </w:r>
            <w:r w:rsidRPr="00EF01ED">
              <w:t>170.210(a</w:t>
            </w:r>
            <w:proofErr w:type="gramStart"/>
            <w:r w:rsidRPr="00EF01ED">
              <w:t>)(</w:t>
            </w:r>
            <w:proofErr w:type="gramEnd"/>
            <w:r w:rsidRPr="00EF01ED">
              <w:t xml:space="preserve">2) and </w:t>
            </w:r>
            <w:r>
              <w:t>§</w:t>
            </w:r>
            <w:r w:rsidRPr="00EF01ED">
              <w:t>170.210(c)(2).</w:t>
            </w:r>
          </w:p>
          <w:p w:rsidR="00CB1B38" w:rsidRDefault="009E3B76" w:rsidP="002E019E">
            <w:pPr>
              <w:numPr>
                <w:ilvl w:val="0"/>
                <w:numId w:val="27"/>
              </w:numPr>
            </w:pPr>
            <w:r>
              <w:t>D</w:t>
            </w:r>
            <w:r w:rsidR="00CB1B38">
              <w:t xml:space="preserve">emonstrate </w:t>
            </w:r>
            <w:r>
              <w:t xml:space="preserve">either through </w:t>
            </w:r>
            <w:r w:rsidR="00CB1B38">
              <w:t>visual inspection</w:t>
            </w:r>
            <w:r w:rsidR="008718BA">
              <w:t xml:space="preserve"> or through system</w:t>
            </w:r>
            <w:r>
              <w:t xml:space="preserve"> documentation</w:t>
            </w:r>
            <w:r w:rsidR="00CB1B38">
              <w:t xml:space="preserve"> that all messages sent are in conformance to standards </w:t>
            </w:r>
            <w:r w:rsidR="00B55319">
              <w:t>§</w:t>
            </w:r>
            <w:r w:rsidR="00CB1B38" w:rsidRPr="00B35ED9">
              <w:t>170.210(a</w:t>
            </w:r>
            <w:proofErr w:type="gramStart"/>
            <w:r w:rsidR="00CB1B38" w:rsidRPr="00B35ED9">
              <w:t>)(</w:t>
            </w:r>
            <w:proofErr w:type="gramEnd"/>
            <w:r w:rsidR="00CB1B38" w:rsidRPr="00B35ED9">
              <w:t xml:space="preserve">2) </w:t>
            </w:r>
            <w:r w:rsidR="00CB1B38">
              <w:t xml:space="preserve">and </w:t>
            </w:r>
            <w:r w:rsidR="00CB1B38" w:rsidRPr="00B35ED9">
              <w:t>(</w:t>
            </w:r>
            <w:r w:rsidR="00B55319">
              <w:t>c</w:t>
            </w:r>
            <w:r w:rsidR="00CB1B38" w:rsidRPr="00B35ED9">
              <w:t>)(2)</w:t>
            </w:r>
            <w:r w:rsidR="00CB1B38">
              <w:t>.</w:t>
            </w:r>
          </w:p>
          <w:p w:rsidR="004B79E8" w:rsidRPr="008B3D7C" w:rsidRDefault="007A3DF8" w:rsidP="000E4AF2">
            <w:pPr>
              <w:numPr>
                <w:ilvl w:val="0"/>
                <w:numId w:val="27"/>
              </w:numPr>
              <w:rPr>
                <w:rFonts w:ascii="Leelawadee" w:hAnsi="Leelawadee" w:cs="Leelawadee"/>
                <w:b/>
              </w:rPr>
            </w:pPr>
            <w:r>
              <w:t>Message digest electronically exchanged by the sending HIT Module matches the message digest created on the health data in the receiving system.</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Pr>
                <w:rFonts w:ascii="Leelawadee UI" w:hAnsi="Leelawadee UI" w:cs="Leelawadee UI"/>
                <w:b/>
              </w:rPr>
              <w:t>Points to Remember:</w:t>
            </w:r>
          </w:p>
          <w:p w:rsidR="00146F1F" w:rsidRDefault="004E01F0" w:rsidP="00146F1F">
            <w:pPr>
              <w:numPr>
                <w:ilvl w:val="0"/>
                <w:numId w:val="30"/>
              </w:numPr>
            </w:pPr>
            <w:r w:rsidRPr="00774694">
              <w:rPr>
                <w:b/>
              </w:rPr>
              <w:t>Health IT developer</w:t>
            </w:r>
            <w:r w:rsidR="00146F1F" w:rsidRPr="00774694">
              <w:rPr>
                <w:b/>
              </w:rPr>
              <w:t xml:space="preserve"> must test either </w:t>
            </w:r>
            <w:r w:rsidR="00DF20C5" w:rsidRPr="00774694">
              <w:rPr>
                <w:b/>
              </w:rPr>
              <w:t xml:space="preserve">Message-level or </w:t>
            </w:r>
            <w:r w:rsidR="00213922" w:rsidRPr="00774694">
              <w:rPr>
                <w:b/>
              </w:rPr>
              <w:t>Transport-level</w:t>
            </w:r>
            <w:r w:rsidR="00146F1F">
              <w:t xml:space="preserve">.  </w:t>
            </w:r>
            <w:r w:rsidR="00967EEA">
              <w:t>Please note a separate privacy and security attestation is still required even if testing message-level.</w:t>
            </w:r>
          </w:p>
          <w:p w:rsidR="00967EEA" w:rsidRDefault="00967EEA" w:rsidP="00146F1F">
            <w:pPr>
              <w:numPr>
                <w:ilvl w:val="0"/>
                <w:numId w:val="30"/>
              </w:numPr>
            </w:pPr>
            <w:r>
              <w:t>See “[EHR Test-128] Privacy and Security Framework” document provided by Drummond Group to verify instructions on submitting required P&amp;S attestation.</w:t>
            </w:r>
          </w:p>
          <w:p w:rsidR="005D5D06" w:rsidRPr="00EA076D" w:rsidRDefault="00E05105" w:rsidP="00967EEA">
            <w:pPr>
              <w:numPr>
                <w:ilvl w:val="0"/>
                <w:numId w:val="30"/>
              </w:numPr>
            </w:pPr>
            <w:r w:rsidRPr="00774694">
              <w:rPr>
                <w:u w:val="single"/>
              </w:rPr>
              <w:t>§170.315(d)(9) must be explicitly demonstrated with § 170.315(e)(1) and (e)(2)</w:t>
            </w:r>
            <w:r w:rsidRPr="000E4AF2">
              <w:t xml:space="preserve"> because of the specific capabilities for secure electronic transmission and secure electronic messaging included in each of these two criteria, respectively. For the other certification criteria (§ 170.315(e</w:t>
            </w:r>
            <w:proofErr w:type="gramStart"/>
            <w:r w:rsidRPr="000E4AF2">
              <w:t>)(</w:t>
            </w:r>
            <w:proofErr w:type="gramEnd"/>
            <w:r w:rsidRPr="000E4AF2">
              <w:t>3), (g)(7), (g)(8), a</w:t>
            </w:r>
            <w:r>
              <w:t>nd (g)(9)), this criterion at §</w:t>
            </w:r>
            <w:r w:rsidRPr="000E4AF2">
              <w:t>170.315(d)(9) only needs to be demonstrated once as part of the overall scope of the certificate sought</w:t>
            </w:r>
            <w:r>
              <w:t>.</w:t>
            </w:r>
          </w:p>
        </w:tc>
      </w:tr>
    </w:tbl>
    <w:p w:rsidR="004B79E8" w:rsidRDefault="004B79E8" w:rsidP="004B79E8"/>
    <w:p w:rsidR="001611F5" w:rsidRDefault="001611F5">
      <w:pPr>
        <w:rPr>
          <w:rFonts w:ascii="Arial" w:hAnsi="Arial" w:cs="Arial"/>
          <w:b/>
          <w:bCs/>
          <w:sz w:val="26"/>
          <w:szCs w:val="26"/>
          <w:u w:val="single"/>
        </w:rPr>
      </w:pPr>
      <w:r>
        <w:rPr>
          <w:u w:val="single"/>
        </w:rPr>
        <w:br w:type="page"/>
      </w:r>
    </w:p>
    <w:p w:rsidR="00213922" w:rsidRDefault="00213922" w:rsidP="00213922">
      <w:pPr>
        <w:pStyle w:val="Heading3"/>
        <w:rPr>
          <w:u w:val="single"/>
        </w:rPr>
      </w:pPr>
      <w:bookmarkStart w:id="6" w:name="_Test_Procedures"/>
      <w:bookmarkEnd w:id="6"/>
      <w:r w:rsidRPr="00725543">
        <w:rPr>
          <w:u w:val="single"/>
        </w:rPr>
        <w:lastRenderedPageBreak/>
        <w:t>Test Procedures</w:t>
      </w:r>
    </w:p>
    <w:p w:rsidR="00967EEA" w:rsidRDefault="00967EEA" w:rsidP="00967EEA"/>
    <w:p w:rsidR="00967EEA" w:rsidRPr="00555F41" w:rsidRDefault="00967EEA" w:rsidP="00967EEA">
      <w:r>
        <w:rPr>
          <w:b/>
        </w:rPr>
        <w:t>1.1</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967EEA" w:rsidTr="008C2E45">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967EEA" w:rsidRDefault="00967EEA"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967EEA" w:rsidRPr="00C15A82" w:rsidRDefault="00967EEA" w:rsidP="00EA4153">
            <w:pPr>
              <w:spacing w:line="360" w:lineRule="auto"/>
            </w:pPr>
            <w:r>
              <w:t xml:space="preserve">Health IT Developer submits Privacy and Security Framework document attesting to the approach used for certification testing.  </w:t>
            </w:r>
            <w:r w:rsidR="00EA4153">
              <w:t>See “[EHR Test-128] Privacy Security Framework” provided by Drummond Group.  A</w:t>
            </w:r>
            <w:r>
              <w:t xml:space="preserve">ttestation must specify </w:t>
            </w:r>
            <w:r w:rsidR="00C75C32">
              <w:t>which</w:t>
            </w:r>
            <w:r>
              <w:t xml:space="preserve"> criteria </w:t>
            </w:r>
            <w:r w:rsidR="00C75C32">
              <w:t>this demonstration</w:t>
            </w:r>
            <w:r>
              <w:t xml:space="preserve"> </w:t>
            </w:r>
            <w:r w:rsidR="00C75C32">
              <w:t xml:space="preserve">applies to.  </w:t>
            </w:r>
            <w:r w:rsidR="00242EF1">
              <w:rPr>
                <w:i/>
              </w:rPr>
              <w:t xml:space="preserve">At a minimum, </w:t>
            </w:r>
            <w:r w:rsidR="00C75C32" w:rsidRPr="00C75C32">
              <w:rPr>
                <w:i/>
              </w:rPr>
              <w:t xml:space="preserve">Trusted Connection (d.9) must </w:t>
            </w:r>
            <w:r w:rsidR="00627E7F">
              <w:rPr>
                <w:i/>
              </w:rPr>
              <w:t>be t</w:t>
            </w:r>
            <w:r w:rsidR="00C75C32" w:rsidRPr="00C75C32">
              <w:rPr>
                <w:i/>
              </w:rPr>
              <w:t>ested separately for §170.315(e</w:t>
            </w:r>
            <w:proofErr w:type="gramStart"/>
            <w:r w:rsidR="00C75C32" w:rsidRPr="00C75C32">
              <w:rPr>
                <w:i/>
              </w:rPr>
              <w:t>)(</w:t>
            </w:r>
            <w:proofErr w:type="gramEnd"/>
            <w:r w:rsidR="00C75C32" w:rsidRPr="00C75C32">
              <w:rPr>
                <w:i/>
              </w:rPr>
              <w:t>1) and (e)(2)</w:t>
            </w:r>
            <w:r w:rsidRPr="00C75C32">
              <w:rPr>
                <w:i/>
              </w:rPr>
              <w:t>.</w:t>
            </w:r>
            <w:r>
              <w:t xml:space="preserve"> </w:t>
            </w:r>
            <w:r w:rsidR="00EA4153" w:rsidRPr="00E66F7C">
              <w:rPr>
                <w:i/>
              </w:rPr>
              <w:t>Additional testing of (d.9) may be conducted</w:t>
            </w:r>
            <w:r w:rsidR="00EA4153">
              <w:rPr>
                <w:i/>
              </w:rPr>
              <w:t>,</w:t>
            </w:r>
            <w:r w:rsidR="00EA4153" w:rsidRPr="00E66F7C">
              <w:rPr>
                <w:i/>
              </w:rPr>
              <w:t xml:space="preserve"> if applicable.</w:t>
            </w:r>
            <w:r w:rsidR="00EA4153">
              <w:rPr>
                <w:i/>
              </w:rPr>
              <w:t xml:space="preserve"> </w:t>
            </w:r>
            <w:r>
              <w:t xml:space="preserve"> </w:t>
            </w:r>
          </w:p>
        </w:tc>
      </w:tr>
    </w:tbl>
    <w:p w:rsidR="00967EEA" w:rsidRDefault="00967EEA" w:rsidP="00967EEA">
      <w:pPr>
        <w:spacing w:line="360" w:lineRule="auto"/>
        <w:ind w:left="360"/>
        <w:rPr>
          <w:u w:val="single"/>
        </w:rPr>
      </w:pPr>
    </w:p>
    <w:p w:rsidR="00967EEA" w:rsidRDefault="00967EEA" w:rsidP="00967EEA">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LINK TO DOCUMENTATION</w:t>
      </w:r>
      <w:r w:rsidRPr="003D768F">
        <w:rPr>
          <w:color w:val="A6A6A6" w:themeColor="background1" w:themeShade="A6"/>
        </w:rPr>
        <w:t>&gt;</w:t>
      </w:r>
    </w:p>
    <w:p w:rsidR="00967EEA" w:rsidRPr="00967EEA" w:rsidRDefault="00967EEA" w:rsidP="00967EEA"/>
    <w:p w:rsidR="009A6B70" w:rsidRPr="009E3B76" w:rsidRDefault="000F6782" w:rsidP="00684DD8">
      <w:pPr>
        <w:pStyle w:val="Heading3"/>
        <w:rPr>
          <w:rFonts w:ascii="Times New Roman" w:hAnsi="Times New Roman" w:cs="Times New Roman"/>
          <w:sz w:val="24"/>
          <w:szCs w:val="24"/>
        </w:rPr>
      </w:pPr>
      <w:r w:rsidRPr="000E4AF2">
        <w:rPr>
          <w:rFonts w:ascii="Times New Roman" w:hAnsi="Times New Roman" w:cs="Times New Roman"/>
          <w:sz w:val="24"/>
          <w:szCs w:val="24"/>
        </w:rPr>
        <w:t>1.</w:t>
      </w:r>
      <w:r w:rsidR="00967EEA">
        <w:rPr>
          <w:rFonts w:ascii="Times New Roman" w:hAnsi="Times New Roman" w:cs="Times New Roman"/>
          <w:sz w:val="24"/>
          <w:szCs w:val="24"/>
        </w:rPr>
        <w:t>2</w:t>
      </w:r>
      <w:r>
        <w:rPr>
          <w:rFonts w:ascii="Times New Roman" w:hAnsi="Times New Roman" w:cs="Times New Roman"/>
          <w:sz w:val="24"/>
          <w:szCs w:val="24"/>
        </w:rPr>
        <w:t xml:space="preserve"> Message-Level: Demonstrate Electronically Exchanged Message Digest </w:t>
      </w:r>
      <w:r w:rsidR="009E3B76">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7668"/>
      </w:tblGrid>
      <w:tr w:rsidR="00C8433E" w:rsidTr="00773200">
        <w:sdt>
          <w:sdtPr>
            <w:id w:val="-42041630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C8433E" w:rsidRDefault="00C8433E" w:rsidP="00773200">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C8433E" w:rsidRDefault="00C360A5" w:rsidP="00773200">
            <w:pPr>
              <w:spacing w:line="360" w:lineRule="auto"/>
            </w:pPr>
            <w:r>
              <w:t>User</w:t>
            </w:r>
            <w:r w:rsidR="00C8433E">
              <w:t xml:space="preserve"> identifies the encryption and hashing algorithms used.  Proctor records in designated section above.</w:t>
            </w:r>
          </w:p>
        </w:tc>
      </w:tr>
      <w:tr w:rsidR="009A6B70" w:rsidTr="00773200">
        <w:sdt>
          <w:sdtPr>
            <w:id w:val="-153426567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9A6B70" w:rsidRDefault="00C8433E" w:rsidP="00773200">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9A6B70" w:rsidRPr="00C15A82" w:rsidRDefault="009A6B70" w:rsidP="00C360A5">
            <w:pPr>
              <w:spacing w:line="360" w:lineRule="auto"/>
            </w:pPr>
            <w:r>
              <w:t xml:space="preserve">Health IT module </w:t>
            </w:r>
            <w:r w:rsidR="00C360A5">
              <w:t>encrypts and integrity protects message contents including generating</w:t>
            </w:r>
            <w:r>
              <w:t xml:space="preserve"> a message digest over</w:t>
            </w:r>
            <w:r w:rsidRPr="007141D9">
              <w:t xml:space="preserve"> patient</w:t>
            </w:r>
            <w:r>
              <w:t xml:space="preserve"> health</w:t>
            </w:r>
            <w:r w:rsidRPr="007141D9">
              <w:t xml:space="preserve"> data</w:t>
            </w:r>
            <w:r>
              <w:t xml:space="preserve"> using SHA-2 or greater</w:t>
            </w:r>
            <w:r w:rsidR="00C360A5">
              <w:t>.</w:t>
            </w:r>
            <w:r>
              <w:t xml:space="preserve"> </w:t>
            </w:r>
          </w:p>
        </w:tc>
      </w:tr>
      <w:tr w:rsidR="00C360A5" w:rsidTr="00773200">
        <w:sdt>
          <w:sdtPr>
            <w:id w:val="-405691912"/>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vAlign w:val="center"/>
              </w:tcPr>
              <w:p w:rsidR="00C360A5" w:rsidRDefault="00C360A5" w:rsidP="00773200">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C360A5" w:rsidRDefault="00C360A5" w:rsidP="00C360A5">
            <w:pPr>
              <w:spacing w:line="360" w:lineRule="auto"/>
            </w:pPr>
            <w:r>
              <w:t xml:space="preserve">User </w:t>
            </w:r>
            <w:r>
              <w:t xml:space="preserve">electronically transmits both the patient health data file and the message digest to </w:t>
            </w:r>
            <w:r>
              <w:t>a receiving system (e.g., Proctor’s PC or receiving system set up by developer).</w:t>
            </w:r>
          </w:p>
        </w:tc>
      </w:tr>
      <w:tr w:rsidR="009A6B70" w:rsidTr="00773200">
        <w:sdt>
          <w:sdtPr>
            <w:id w:val="1713074274"/>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9A6B70" w:rsidRDefault="009A6B70" w:rsidP="00773200">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9A6B70" w:rsidRDefault="009A6B70" w:rsidP="003D0C58">
            <w:pPr>
              <w:spacing w:line="360" w:lineRule="auto"/>
            </w:pPr>
            <w:r>
              <w:t xml:space="preserve">Proctor </w:t>
            </w:r>
            <w:r w:rsidR="00C360A5">
              <w:t>verifies message is sent in conformance with the encryption and hashing algorithm identified by the developer.</w:t>
            </w:r>
            <w:r w:rsidR="003D0C58">
              <w:t xml:space="preserve"> C</w:t>
            </w:r>
            <w:r w:rsidR="003D0C58">
              <w:t>omputes message digest over the received patient health data and veri</w:t>
            </w:r>
            <w:r w:rsidR="003D0C58">
              <w:t>fies it matches message digest generated</w:t>
            </w:r>
            <w:r w:rsidR="003D0C58">
              <w:t xml:space="preserve"> by Health IT module</w:t>
            </w:r>
            <w:r w:rsidR="003D0C58">
              <w:t>.</w:t>
            </w:r>
          </w:p>
        </w:tc>
      </w:tr>
      <w:tr w:rsidR="009A6B70" w:rsidTr="00773200">
        <w:tc>
          <w:tcPr>
            <w:tcW w:w="828" w:type="dxa"/>
            <w:tcBorders>
              <w:bottom w:val="single" w:sz="4" w:space="0" w:color="auto"/>
              <w:right w:val="single" w:sz="4" w:space="0" w:color="auto"/>
            </w:tcBorders>
          </w:tcPr>
          <w:sdt>
            <w:sdtPr>
              <w:id w:val="-547531856"/>
              <w14:checkbox>
                <w14:checked w14:val="0"/>
                <w14:checkedState w14:val="2612" w14:font="Arial Unicode MS"/>
                <w14:uncheckedState w14:val="2610" w14:font="Arial Unicode MS"/>
              </w14:checkbox>
            </w:sdtPr>
            <w:sdtEndPr/>
            <w:sdtContent>
              <w:p w:rsidR="009A6B70" w:rsidRDefault="009A6B70" w:rsidP="00773200">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9A6B70" w:rsidRPr="00C15A82" w:rsidRDefault="009A6B70" w:rsidP="00773200">
            <w:pPr>
              <w:spacing w:line="360" w:lineRule="auto"/>
            </w:pPr>
            <w:r>
              <w:t>Proctor generates message digest for a DG-supplied test data file and electronically transmits to health IT developer.</w:t>
            </w:r>
          </w:p>
        </w:tc>
      </w:tr>
      <w:tr w:rsidR="009A6B70" w:rsidRPr="00C15A82" w:rsidTr="00773200">
        <w:tc>
          <w:tcPr>
            <w:tcW w:w="828" w:type="dxa"/>
          </w:tcPr>
          <w:sdt>
            <w:sdtPr>
              <w:id w:val="1773742593"/>
              <w14:checkbox>
                <w14:checked w14:val="0"/>
                <w14:checkedState w14:val="2612" w14:font="Arial Unicode MS"/>
                <w14:uncheckedState w14:val="2610" w14:font="Arial Unicode MS"/>
              </w14:checkbox>
            </w:sdtPr>
            <w:sdtEndPr/>
            <w:sdtContent>
              <w:p w:rsidR="009A6B70" w:rsidRDefault="009A6B70" w:rsidP="00773200">
                <w:pPr>
                  <w:spacing w:line="360" w:lineRule="auto"/>
                  <w:rPr>
                    <w:u w:val="single"/>
                  </w:rPr>
                </w:pPr>
                <w:r>
                  <w:rPr>
                    <w:rFonts w:ascii="MS Gothic" w:eastAsia="MS Gothic" w:hAnsi="MS Gothic" w:hint="eastAsia"/>
                  </w:rPr>
                  <w:t>☐</w:t>
                </w:r>
              </w:p>
            </w:sdtContent>
          </w:sdt>
        </w:tc>
        <w:tc>
          <w:tcPr>
            <w:tcW w:w="7668" w:type="dxa"/>
          </w:tcPr>
          <w:p w:rsidR="009A6B70" w:rsidRPr="00C15A82" w:rsidRDefault="009A6B70" w:rsidP="00773200">
            <w:pPr>
              <w:spacing w:line="360" w:lineRule="auto"/>
            </w:pPr>
            <w:r>
              <w:t>Within health IT module, user</w:t>
            </w:r>
            <w:r w:rsidRPr="00D05F5C">
              <w:t xml:space="preserve"> generates message digest over the received patient health data.</w:t>
            </w:r>
          </w:p>
        </w:tc>
      </w:tr>
      <w:tr w:rsidR="009A6B70" w:rsidRPr="00C15A82" w:rsidTr="00773200">
        <w:tc>
          <w:tcPr>
            <w:tcW w:w="828" w:type="dxa"/>
          </w:tcPr>
          <w:sdt>
            <w:sdtPr>
              <w:id w:val="-1415545412"/>
              <w14:checkbox>
                <w14:checked w14:val="0"/>
                <w14:checkedState w14:val="2612" w14:font="Arial Unicode MS"/>
                <w14:uncheckedState w14:val="2610" w14:font="Arial Unicode MS"/>
              </w14:checkbox>
            </w:sdtPr>
            <w:sdtEndPr/>
            <w:sdtContent>
              <w:p w:rsidR="009A6B70" w:rsidRDefault="009A6B70" w:rsidP="00773200">
                <w:pPr>
                  <w:spacing w:line="360" w:lineRule="auto"/>
                  <w:rPr>
                    <w:u w:val="single"/>
                  </w:rPr>
                </w:pPr>
                <w:r>
                  <w:rPr>
                    <w:rFonts w:ascii="MS Gothic" w:eastAsia="MS Gothic" w:hAnsi="MS Gothic" w:hint="eastAsia"/>
                  </w:rPr>
                  <w:t>☐</w:t>
                </w:r>
              </w:p>
            </w:sdtContent>
          </w:sdt>
        </w:tc>
        <w:tc>
          <w:tcPr>
            <w:tcW w:w="7668" w:type="dxa"/>
          </w:tcPr>
          <w:p w:rsidR="009A6B70" w:rsidRPr="00C15A82" w:rsidRDefault="009A6B70" w:rsidP="00773200">
            <w:pPr>
              <w:spacing w:line="360" w:lineRule="auto"/>
            </w:pPr>
            <w:r>
              <w:t>Proctor verifies message digest generated by health IT module matches message digest computed by Proctor.</w:t>
            </w:r>
          </w:p>
        </w:tc>
      </w:tr>
    </w:tbl>
    <w:p w:rsidR="009A6B70" w:rsidRDefault="009A6B70" w:rsidP="009A6B70">
      <w:pPr>
        <w:spacing w:line="360" w:lineRule="auto"/>
        <w:rPr>
          <w:color w:val="D9D9D9" w:themeColor="background1" w:themeShade="D9"/>
        </w:rPr>
      </w:pPr>
    </w:p>
    <w:p w:rsidR="009A6B70" w:rsidRDefault="009A6B70" w:rsidP="009A6B70">
      <w:pPr>
        <w:spacing w:line="360" w:lineRule="auto"/>
        <w:rPr>
          <w:color w:val="A6A6A6" w:themeColor="background1" w:themeShade="A6"/>
        </w:rPr>
      </w:pPr>
      <w:r w:rsidRPr="003D768F">
        <w:rPr>
          <w:color w:val="A6A6A6" w:themeColor="background1" w:themeShade="A6"/>
        </w:rPr>
        <w:t>&lt;</w:t>
      </w:r>
      <w:r w:rsidRPr="007141D9">
        <w:rPr>
          <w:color w:val="A6A6A6" w:themeColor="background1" w:themeShade="A6"/>
        </w:rPr>
        <w:t>IN</w:t>
      </w:r>
      <w:r>
        <w:rPr>
          <w:color w:val="A6A6A6" w:themeColor="background1" w:themeShade="A6"/>
        </w:rPr>
        <w:t>SERT SCREEN SHOT</w:t>
      </w:r>
      <w:r w:rsidR="00684DD8">
        <w:rPr>
          <w:color w:val="A6A6A6" w:themeColor="background1" w:themeShade="A6"/>
        </w:rPr>
        <w:t>S</w:t>
      </w:r>
      <w:r>
        <w:rPr>
          <w:color w:val="A6A6A6" w:themeColor="background1" w:themeShade="A6"/>
        </w:rPr>
        <w:t xml:space="preserve"> OR ATTACH FILE</w:t>
      </w:r>
      <w:r w:rsidR="00684DD8">
        <w:rPr>
          <w:color w:val="A6A6A6" w:themeColor="background1" w:themeShade="A6"/>
        </w:rPr>
        <w:t>S</w:t>
      </w:r>
      <w:r w:rsidRPr="003D768F">
        <w:rPr>
          <w:color w:val="A6A6A6" w:themeColor="background1" w:themeShade="A6"/>
        </w:rPr>
        <w:t>&gt;</w:t>
      </w:r>
    </w:p>
    <w:p w:rsidR="003D0C58" w:rsidRDefault="003D0C58">
      <w:pPr>
        <w:rPr>
          <w:rFonts w:ascii="Arial" w:hAnsi="Arial" w:cs="Arial"/>
          <w:b/>
          <w:bCs/>
          <w:kern w:val="32"/>
          <w:sz w:val="32"/>
          <w:szCs w:val="32"/>
        </w:rPr>
      </w:pPr>
      <w:r>
        <w:br w:type="page"/>
      </w:r>
    </w:p>
    <w:p w:rsidR="00E10163" w:rsidRDefault="00B52DBE" w:rsidP="00E10163">
      <w:pPr>
        <w:pStyle w:val="Heading1"/>
      </w:pPr>
      <w:r>
        <w:lastRenderedPageBreak/>
        <w:t>170.315</w:t>
      </w:r>
      <w:proofErr w:type="gramStart"/>
      <w:r>
        <w:t>.d.9</w:t>
      </w:r>
      <w:proofErr w:type="gramEnd"/>
      <w:r>
        <w:t xml:space="preserve"> (ii)</w:t>
      </w:r>
      <w:r w:rsidRPr="00BD2A8D">
        <w:t xml:space="preserve"> – </w:t>
      </w:r>
      <w:r>
        <w:t xml:space="preserve">Trusted Connection: </w:t>
      </w:r>
      <w:r w:rsidR="007812F1">
        <w:t>Transport-l</w:t>
      </w:r>
      <w:r w:rsidR="00E10163">
        <w:t>evel</w:t>
      </w:r>
    </w:p>
    <w:p w:rsidR="008C0DF2" w:rsidRPr="008C0DF2" w:rsidRDefault="008C0DF2" w:rsidP="008C0DF2"/>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8C0DF2" w:rsidRPr="00255DC9" w:rsidTr="009E7DE9">
        <w:trPr>
          <w:trHeight w:val="432"/>
        </w:trPr>
        <w:tc>
          <w:tcPr>
            <w:tcW w:w="3150" w:type="dxa"/>
            <w:shd w:val="clear" w:color="auto" w:fill="DBE5F1" w:themeFill="accent1" w:themeFillTint="33"/>
          </w:tcPr>
          <w:p w:rsidR="008C0DF2" w:rsidRPr="00255DC9" w:rsidRDefault="008C0DF2" w:rsidP="0077320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580" w:type="dxa"/>
            <w:shd w:val="clear" w:color="auto" w:fill="DBE5F1" w:themeFill="accent1" w:themeFillTint="33"/>
          </w:tcPr>
          <w:p w:rsidR="008C0DF2" w:rsidRPr="00255DC9" w:rsidRDefault="008C0DF2" w:rsidP="0077320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29201535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83557383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42955343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E7DE9" w:rsidRPr="00255DC9" w:rsidTr="009E7DE9">
        <w:trPr>
          <w:trHeight w:val="432"/>
        </w:trPr>
        <w:tc>
          <w:tcPr>
            <w:tcW w:w="3150" w:type="dxa"/>
            <w:shd w:val="clear" w:color="auto" w:fill="DBE5F1" w:themeFill="accent1" w:themeFillTint="33"/>
          </w:tcPr>
          <w:p w:rsidR="009E7DE9" w:rsidRDefault="009E7DE9" w:rsidP="00773200">
            <w:pPr>
              <w:rPr>
                <w:rFonts w:ascii="Leelawadee UI" w:hAnsi="Leelawadee UI" w:cs="Leelawadee UI"/>
                <w:b/>
              </w:rPr>
            </w:pPr>
            <w:r>
              <w:rPr>
                <w:rFonts w:ascii="Leelawadee UI" w:hAnsi="Leelawadee UI" w:cs="Leelawadee UI"/>
                <w:b/>
              </w:rPr>
              <w:t>P&amp;S applies to all criteria:</w:t>
            </w:r>
          </w:p>
        </w:tc>
        <w:tc>
          <w:tcPr>
            <w:tcW w:w="5580" w:type="dxa"/>
            <w:shd w:val="clear" w:color="auto" w:fill="DBE5F1" w:themeFill="accent1" w:themeFillTint="33"/>
          </w:tcPr>
          <w:p w:rsidR="009E7DE9" w:rsidRPr="00255DC9" w:rsidRDefault="009E7DE9" w:rsidP="009E7DE9">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1632383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819569361"/>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p>
        </w:tc>
      </w:tr>
      <w:tr w:rsidR="009E7DE9" w:rsidRPr="00255DC9" w:rsidTr="009E7DE9">
        <w:trPr>
          <w:trHeight w:val="432"/>
        </w:trPr>
        <w:tc>
          <w:tcPr>
            <w:tcW w:w="3150" w:type="dxa"/>
            <w:shd w:val="clear" w:color="auto" w:fill="DBE5F1" w:themeFill="accent1" w:themeFillTint="33"/>
          </w:tcPr>
          <w:p w:rsidR="009E7DE9" w:rsidRDefault="009E7DE9" w:rsidP="00773200">
            <w:pPr>
              <w:rPr>
                <w:rFonts w:ascii="Leelawadee UI" w:hAnsi="Leelawadee UI" w:cs="Leelawadee UI"/>
                <w:b/>
              </w:rPr>
            </w:pPr>
            <w:r>
              <w:rPr>
                <w:rFonts w:ascii="Leelawadee UI" w:hAnsi="Leelawadee UI" w:cs="Leelawadee UI"/>
                <w:b/>
              </w:rPr>
              <w:t>If not, list applicable criteria:</w:t>
            </w:r>
          </w:p>
        </w:tc>
        <w:tc>
          <w:tcPr>
            <w:tcW w:w="5580" w:type="dxa"/>
            <w:shd w:val="clear" w:color="auto" w:fill="DBE5F1" w:themeFill="accent1" w:themeFillTint="33"/>
          </w:tcPr>
          <w:p w:rsidR="009E7DE9" w:rsidRPr="00255DC9" w:rsidRDefault="009E7DE9" w:rsidP="00773200">
            <w:pPr>
              <w:rPr>
                <w:rFonts w:ascii="Leelawadee UI" w:hAnsi="Leelawadee UI" w:cs="Leelawadee UI"/>
                <w:b/>
              </w:rPr>
            </w:pPr>
          </w:p>
        </w:tc>
      </w:tr>
      <w:tr w:rsidR="008C0DF2" w:rsidRPr="00255DC9" w:rsidTr="009E7DE9">
        <w:trPr>
          <w:trHeight w:val="432"/>
        </w:trPr>
        <w:tc>
          <w:tcPr>
            <w:tcW w:w="3150" w:type="dxa"/>
            <w:shd w:val="clear" w:color="auto" w:fill="DBE5F1" w:themeFill="accent1" w:themeFillTint="33"/>
          </w:tcPr>
          <w:p w:rsidR="008C0DF2" w:rsidRPr="00255DC9" w:rsidRDefault="008C0DF2" w:rsidP="00773200">
            <w:pPr>
              <w:rPr>
                <w:rFonts w:ascii="Leelawadee UI" w:hAnsi="Leelawadee UI" w:cs="Leelawadee UI"/>
                <w:b/>
              </w:rPr>
            </w:pPr>
            <w:r>
              <w:rPr>
                <w:rFonts w:ascii="Leelawadee UI" w:hAnsi="Leelawadee UI" w:cs="Leelawadee UI"/>
                <w:b/>
              </w:rPr>
              <w:t>Encryption and Hashing Algorithm:</w:t>
            </w:r>
          </w:p>
        </w:tc>
        <w:tc>
          <w:tcPr>
            <w:tcW w:w="5580" w:type="dxa"/>
            <w:shd w:val="clear" w:color="auto" w:fill="DBE5F1" w:themeFill="accent1" w:themeFillTint="33"/>
          </w:tcPr>
          <w:p w:rsidR="008C0DF2" w:rsidRPr="00255DC9" w:rsidRDefault="008C0DF2" w:rsidP="00773200">
            <w:pPr>
              <w:rPr>
                <w:rFonts w:ascii="Leelawadee UI" w:hAnsi="Leelawadee UI" w:cs="Leelawadee UI"/>
                <w:b/>
              </w:rPr>
            </w:pPr>
          </w:p>
        </w:tc>
      </w:tr>
      <w:tr w:rsidR="008C0DF2" w:rsidRPr="008C3B5F" w:rsidTr="00773200">
        <w:trPr>
          <w:trHeight w:val="432"/>
        </w:trPr>
        <w:tc>
          <w:tcPr>
            <w:tcW w:w="8730" w:type="dxa"/>
            <w:gridSpan w:val="2"/>
            <w:shd w:val="clear" w:color="auto" w:fill="DBE5F1" w:themeFill="accent1" w:themeFillTint="33"/>
          </w:tcPr>
          <w:p w:rsidR="008C0DF2" w:rsidRDefault="008C0DF2" w:rsidP="00773200">
            <w:r w:rsidRPr="00255DC9">
              <w:rPr>
                <w:rFonts w:ascii="Leelawadee UI" w:hAnsi="Leelawadee UI" w:cs="Leelawadee UI"/>
                <w:b/>
              </w:rPr>
              <w:t>Instructions:</w:t>
            </w:r>
            <w:r w:rsidRPr="00255DC9">
              <w:rPr>
                <w:rFonts w:ascii="Leelawadee UI" w:hAnsi="Leelawadee UI" w:cs="Leelawadee UI"/>
              </w:rPr>
              <w:t xml:space="preserve"> </w:t>
            </w:r>
          </w:p>
          <w:p w:rsidR="008C0DF2" w:rsidRPr="008C3B5F" w:rsidRDefault="008C0DF2" w:rsidP="008C0DF2">
            <w:pPr>
              <w:pStyle w:val="ListParagraph"/>
              <w:numPr>
                <w:ilvl w:val="0"/>
                <w:numId w:val="29"/>
              </w:numPr>
            </w:pPr>
            <w:r>
              <w:t>Health IT developer uses the HIT functionality to establish a trusted connection.</w:t>
            </w:r>
          </w:p>
        </w:tc>
      </w:tr>
      <w:tr w:rsidR="008C0DF2" w:rsidRPr="008B3D7C" w:rsidTr="00773200">
        <w:trPr>
          <w:trHeight w:val="432"/>
        </w:trPr>
        <w:tc>
          <w:tcPr>
            <w:tcW w:w="8730" w:type="dxa"/>
            <w:gridSpan w:val="2"/>
            <w:shd w:val="clear" w:color="auto" w:fill="DBE5F1" w:themeFill="accent1" w:themeFillTint="33"/>
          </w:tcPr>
          <w:p w:rsidR="008C0DF2" w:rsidRDefault="008C0DF2" w:rsidP="00773200">
            <w:pPr>
              <w:rPr>
                <w:rFonts w:ascii="Leelawadee UI" w:hAnsi="Leelawadee UI" w:cs="Leelawadee UI"/>
                <w:b/>
              </w:rPr>
            </w:pPr>
            <w:r w:rsidRPr="00255DC9">
              <w:rPr>
                <w:rFonts w:ascii="Leelawadee UI" w:hAnsi="Leelawadee UI" w:cs="Leelawadee UI"/>
                <w:b/>
              </w:rPr>
              <w:t xml:space="preserve">Expected Test Result: </w:t>
            </w:r>
          </w:p>
          <w:p w:rsidR="008C0DF2" w:rsidRDefault="008C0DF2" w:rsidP="00773200">
            <w:pPr>
              <w:numPr>
                <w:ilvl w:val="0"/>
                <w:numId w:val="27"/>
              </w:numPr>
            </w:pPr>
            <w:r>
              <w:t>Establish a trusted connection in accordance with the standards specified at §</w:t>
            </w:r>
            <w:r w:rsidRPr="00EF01ED">
              <w:t>170.210(a</w:t>
            </w:r>
            <w:proofErr w:type="gramStart"/>
            <w:r w:rsidRPr="00EF01ED">
              <w:t>)(</w:t>
            </w:r>
            <w:proofErr w:type="gramEnd"/>
            <w:r w:rsidRPr="00EF01ED">
              <w:t xml:space="preserve">2) and </w:t>
            </w:r>
            <w:r>
              <w:t>§</w:t>
            </w:r>
            <w:r w:rsidRPr="00EF01ED">
              <w:t>170.210(c)(2).</w:t>
            </w:r>
          </w:p>
          <w:p w:rsidR="008C0DF2" w:rsidRDefault="009E3B76" w:rsidP="00773200">
            <w:pPr>
              <w:numPr>
                <w:ilvl w:val="0"/>
                <w:numId w:val="27"/>
              </w:numPr>
            </w:pPr>
            <w:r>
              <w:t>D</w:t>
            </w:r>
            <w:r w:rsidR="008C0DF2">
              <w:t xml:space="preserve">emonstrate </w:t>
            </w:r>
            <w:r>
              <w:t xml:space="preserve">either </w:t>
            </w:r>
            <w:r w:rsidR="008C0DF2">
              <w:t>through visual inspection</w:t>
            </w:r>
            <w:r>
              <w:t xml:space="preserve"> or via documentation</w:t>
            </w:r>
            <w:r w:rsidR="008C0DF2">
              <w:t xml:space="preserve"> that a trusted connection is established in conformance to standards </w:t>
            </w:r>
            <w:r w:rsidR="00D61161">
              <w:t>§</w:t>
            </w:r>
            <w:r w:rsidR="008C0DF2" w:rsidRPr="00B35ED9">
              <w:t>170.210(a</w:t>
            </w:r>
            <w:proofErr w:type="gramStart"/>
            <w:r w:rsidR="008C0DF2" w:rsidRPr="00B35ED9">
              <w:t>)(</w:t>
            </w:r>
            <w:proofErr w:type="gramEnd"/>
            <w:r w:rsidR="008C0DF2" w:rsidRPr="00B35ED9">
              <w:t xml:space="preserve">2) </w:t>
            </w:r>
            <w:r w:rsidR="00EC34F8">
              <w:t xml:space="preserve">and </w:t>
            </w:r>
            <w:r w:rsidR="00D61161">
              <w:t>(c</w:t>
            </w:r>
            <w:r w:rsidR="008C0DF2" w:rsidRPr="00B35ED9">
              <w:t>)(2)</w:t>
            </w:r>
            <w:r w:rsidR="008C0DF2">
              <w:t>.</w:t>
            </w:r>
          </w:p>
          <w:p w:rsidR="008C0DF2" w:rsidRPr="008B3D7C" w:rsidRDefault="008C0DF2" w:rsidP="00773200">
            <w:pPr>
              <w:numPr>
                <w:ilvl w:val="0"/>
                <w:numId w:val="27"/>
              </w:numPr>
              <w:rPr>
                <w:rFonts w:ascii="Leelawadee" w:hAnsi="Leelawadee" w:cs="Leelawadee"/>
                <w:b/>
              </w:rPr>
            </w:pPr>
            <w:r>
              <w:t>Message digest electronically exchanged by the sending HIT Module matches the message digest created on the health data in the receiving system.</w:t>
            </w:r>
          </w:p>
        </w:tc>
      </w:tr>
      <w:tr w:rsidR="008C0DF2" w:rsidRPr="00EA076D" w:rsidTr="00773200">
        <w:trPr>
          <w:trHeight w:val="432"/>
        </w:trPr>
        <w:tc>
          <w:tcPr>
            <w:tcW w:w="8730" w:type="dxa"/>
            <w:gridSpan w:val="2"/>
            <w:shd w:val="clear" w:color="auto" w:fill="DBE5F1" w:themeFill="accent1" w:themeFillTint="33"/>
          </w:tcPr>
          <w:p w:rsidR="008C0DF2" w:rsidRDefault="008C0DF2" w:rsidP="00773200">
            <w:pPr>
              <w:rPr>
                <w:rFonts w:ascii="Leelawadee UI" w:hAnsi="Leelawadee UI" w:cs="Leelawadee UI"/>
                <w:b/>
              </w:rPr>
            </w:pPr>
            <w:r>
              <w:rPr>
                <w:rFonts w:ascii="Leelawadee UI" w:hAnsi="Leelawadee UI" w:cs="Leelawadee UI"/>
                <w:b/>
              </w:rPr>
              <w:t>Points to Remember:</w:t>
            </w:r>
          </w:p>
          <w:p w:rsidR="008C0DF2" w:rsidRDefault="008C0DF2" w:rsidP="00773200">
            <w:pPr>
              <w:numPr>
                <w:ilvl w:val="0"/>
                <w:numId w:val="30"/>
              </w:numPr>
            </w:pPr>
            <w:r w:rsidRPr="00774694">
              <w:rPr>
                <w:b/>
              </w:rPr>
              <w:t>Health IT developer must test either Message-level or Transport-level</w:t>
            </w:r>
            <w:r>
              <w:t xml:space="preserve">.  </w:t>
            </w:r>
          </w:p>
          <w:p w:rsidR="005E4BDF" w:rsidRDefault="009C43B4" w:rsidP="00773200">
            <w:pPr>
              <w:numPr>
                <w:ilvl w:val="0"/>
                <w:numId w:val="30"/>
              </w:numPr>
            </w:pPr>
            <w:r>
              <w:t>I</w:t>
            </w:r>
            <w:r w:rsidR="005E4BDF">
              <w:t>nspect</w:t>
            </w:r>
            <w:r>
              <w:t>ion of</w:t>
            </w:r>
            <w:r w:rsidR="005E4BDF">
              <w:t xml:space="preserve"> the certificate and</w:t>
            </w:r>
            <w:r w:rsidR="005E4BDF" w:rsidRPr="005E4BDF">
              <w:t xml:space="preserve"> encryption connection</w:t>
            </w:r>
            <w:r>
              <w:t xml:space="preserve"> through a browser</w:t>
            </w:r>
            <w:r w:rsidR="005E4BDF" w:rsidRPr="005E4BDF">
              <w:t xml:space="preserve">, or use </w:t>
            </w:r>
            <w:r w:rsidR="005E4BDF">
              <w:t xml:space="preserve">of </w:t>
            </w:r>
            <w:r w:rsidR="005E4BDF" w:rsidRPr="005E4BDF">
              <w:t xml:space="preserve">a </w:t>
            </w:r>
            <w:r w:rsidR="005E4BDF">
              <w:t>network analyzer</w:t>
            </w:r>
            <w:r w:rsidR="005E4BDF" w:rsidRPr="005E4BDF">
              <w:t xml:space="preserve"> to inspect the packets involved in the encryption handshake</w:t>
            </w:r>
            <w:r w:rsidR="005E4BDF">
              <w:t xml:space="preserve"> are both</w:t>
            </w:r>
            <w:r w:rsidR="005E4BDF" w:rsidRPr="005E4BDF">
              <w:t xml:space="preserve"> acceptable </w:t>
            </w:r>
            <w:r w:rsidR="005E4BDF">
              <w:t>methods for verification.</w:t>
            </w:r>
          </w:p>
          <w:p w:rsidR="008C0DF2" w:rsidRDefault="008C0DF2" w:rsidP="00773200">
            <w:pPr>
              <w:numPr>
                <w:ilvl w:val="0"/>
                <w:numId w:val="30"/>
              </w:numPr>
            </w:pPr>
            <w:r w:rsidRPr="00774694">
              <w:rPr>
                <w:u w:val="single"/>
              </w:rPr>
              <w:t>§170.315(d)(9) must be explicitly demonstrated with §170.315(e)(1) and (e)(2)</w:t>
            </w:r>
            <w:r w:rsidRPr="000E4AF2">
              <w:t xml:space="preserve"> because of the specific capabilities for secure electronic transmission and secure electronic messaging included in each of these two criteria, respectively. For the other certification criteria (§ 170.315(e</w:t>
            </w:r>
            <w:proofErr w:type="gramStart"/>
            <w:r w:rsidRPr="000E4AF2">
              <w:t>)(</w:t>
            </w:r>
            <w:proofErr w:type="gramEnd"/>
            <w:r w:rsidRPr="000E4AF2">
              <w:t>3), (g)(7), (g)(8), a</w:t>
            </w:r>
            <w:r>
              <w:t>nd (g)(9)), this criterion at §</w:t>
            </w:r>
            <w:r w:rsidRPr="000E4AF2">
              <w:t>170.315(d)(9) only needs to be demonstrated once as part of the overall scope of the certificate sought</w:t>
            </w:r>
            <w:r>
              <w:t>.</w:t>
            </w:r>
          </w:p>
          <w:p w:rsidR="008C0DF2" w:rsidRPr="00EA076D" w:rsidRDefault="002E3841" w:rsidP="00773200">
            <w:pPr>
              <w:numPr>
                <w:ilvl w:val="0"/>
                <w:numId w:val="30"/>
              </w:numPr>
            </w:pPr>
            <w:r>
              <w:t>See “[EHR Test-128] Privacy and Security Framework” document provided by Drummond Group to verify instructions on submitting required P&amp;S attestation</w:t>
            </w:r>
          </w:p>
        </w:tc>
      </w:tr>
    </w:tbl>
    <w:p w:rsidR="001611F5" w:rsidRDefault="001611F5">
      <w:pPr>
        <w:rPr>
          <w:rFonts w:ascii="Arial" w:hAnsi="Arial" w:cs="Arial"/>
          <w:b/>
          <w:bCs/>
          <w:sz w:val="26"/>
          <w:szCs w:val="26"/>
          <w:u w:val="single"/>
        </w:rPr>
      </w:pPr>
    </w:p>
    <w:p w:rsidR="008C0DF2" w:rsidRDefault="008C0DF2">
      <w:pPr>
        <w:rPr>
          <w:rFonts w:ascii="Arial" w:hAnsi="Arial" w:cs="Arial"/>
          <w:b/>
          <w:bCs/>
          <w:sz w:val="26"/>
          <w:szCs w:val="26"/>
          <w:u w:val="single"/>
        </w:rPr>
      </w:pPr>
      <w:r>
        <w:rPr>
          <w:u w:val="single"/>
        </w:rPr>
        <w:br w:type="page"/>
      </w:r>
    </w:p>
    <w:p w:rsidR="00725543" w:rsidRDefault="00725543" w:rsidP="00725543">
      <w:pPr>
        <w:pStyle w:val="Heading3"/>
        <w:rPr>
          <w:u w:val="single"/>
        </w:rPr>
      </w:pPr>
      <w:r w:rsidRPr="00725543">
        <w:rPr>
          <w:u w:val="single"/>
        </w:rPr>
        <w:lastRenderedPageBreak/>
        <w:t>Test Procedures</w:t>
      </w:r>
    </w:p>
    <w:p w:rsidR="003B69BE" w:rsidRPr="003B69BE" w:rsidRDefault="003B69BE" w:rsidP="003B69BE"/>
    <w:p w:rsidR="003B69BE" w:rsidRPr="00555F41" w:rsidRDefault="003B69BE" w:rsidP="003B69BE">
      <w:r>
        <w:rPr>
          <w:b/>
        </w:rPr>
        <w:t>2.1</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3B69BE" w:rsidTr="008C2E45">
        <w:sdt>
          <w:sdtPr>
            <w:id w:val="-637331228"/>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3B69BE" w:rsidRDefault="003B69BE"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3B69BE" w:rsidRPr="00C15A82" w:rsidRDefault="00EA4153" w:rsidP="00242EF1">
            <w:pPr>
              <w:spacing w:line="360" w:lineRule="auto"/>
            </w:pPr>
            <w:r>
              <w:t xml:space="preserve">Health IT Developer submits Privacy and Security Framework document attesting to the approach used for certification testing.  See “[EHR Test-128] Privacy Security Framework” provided by Drummond Group.  Attestation must specify which criteria this demonstration applies to.  </w:t>
            </w:r>
            <w:r>
              <w:rPr>
                <w:i/>
              </w:rPr>
              <w:t xml:space="preserve">At a minimum, </w:t>
            </w:r>
            <w:r w:rsidRPr="00C75C32">
              <w:rPr>
                <w:i/>
              </w:rPr>
              <w:t xml:space="preserve">Trusted Connection (d.9) must </w:t>
            </w:r>
            <w:r>
              <w:rPr>
                <w:i/>
              </w:rPr>
              <w:t>be t</w:t>
            </w:r>
            <w:r w:rsidRPr="00C75C32">
              <w:rPr>
                <w:i/>
              </w:rPr>
              <w:t>ested separately for §170.315(e</w:t>
            </w:r>
            <w:proofErr w:type="gramStart"/>
            <w:r w:rsidRPr="00C75C32">
              <w:rPr>
                <w:i/>
              </w:rPr>
              <w:t>)(</w:t>
            </w:r>
            <w:proofErr w:type="gramEnd"/>
            <w:r w:rsidRPr="00C75C32">
              <w:rPr>
                <w:i/>
              </w:rPr>
              <w:t>1) and (e)(2).</w:t>
            </w:r>
            <w:r>
              <w:t xml:space="preserve"> </w:t>
            </w:r>
            <w:r w:rsidRPr="00E66F7C">
              <w:rPr>
                <w:i/>
              </w:rPr>
              <w:t>Additional testing of (d.9) may be conducted</w:t>
            </w:r>
            <w:r>
              <w:rPr>
                <w:i/>
              </w:rPr>
              <w:t>,</w:t>
            </w:r>
            <w:r w:rsidRPr="00E66F7C">
              <w:rPr>
                <w:i/>
              </w:rPr>
              <w:t xml:space="preserve"> if applicable.</w:t>
            </w:r>
            <w:r>
              <w:rPr>
                <w:i/>
              </w:rPr>
              <w:t xml:space="preserve"> </w:t>
            </w:r>
            <w:r>
              <w:t xml:space="preserve"> </w:t>
            </w:r>
          </w:p>
        </w:tc>
      </w:tr>
    </w:tbl>
    <w:p w:rsidR="003B69BE" w:rsidRDefault="003B69BE" w:rsidP="003B69BE">
      <w:pPr>
        <w:spacing w:line="360" w:lineRule="auto"/>
        <w:ind w:left="360"/>
        <w:rPr>
          <w:u w:val="single"/>
        </w:rPr>
      </w:pPr>
    </w:p>
    <w:p w:rsidR="003B69BE" w:rsidRDefault="003B69BE" w:rsidP="003B69BE">
      <w:pPr>
        <w:spacing w:line="360" w:lineRule="auto"/>
        <w:rPr>
          <w:color w:val="A6A6A6" w:themeColor="background1" w:themeShade="A6"/>
        </w:rPr>
      </w:pPr>
      <w:r w:rsidRPr="003D768F">
        <w:rPr>
          <w:color w:val="A6A6A6" w:themeColor="background1" w:themeShade="A6"/>
        </w:rPr>
        <w:t>&lt;</w:t>
      </w:r>
      <w:r>
        <w:rPr>
          <w:color w:val="A6A6A6" w:themeColor="background1" w:themeShade="A6"/>
        </w:rPr>
        <w:t>ATTACH or LINK DOCUMENTATION</w:t>
      </w:r>
      <w:r w:rsidRPr="003D768F">
        <w:rPr>
          <w:color w:val="A6A6A6" w:themeColor="background1" w:themeShade="A6"/>
        </w:rPr>
        <w:t>&gt;</w:t>
      </w:r>
    </w:p>
    <w:p w:rsidR="00375ECB" w:rsidRDefault="00375ECB" w:rsidP="003B69BE">
      <w:pPr>
        <w:spacing w:line="360" w:lineRule="auto"/>
        <w:rPr>
          <w:color w:val="A6A6A6" w:themeColor="background1" w:themeShade="A6"/>
        </w:rPr>
      </w:pPr>
    </w:p>
    <w:p w:rsidR="00D61161" w:rsidRPr="000E4AF2" w:rsidRDefault="00D61161" w:rsidP="00D61161">
      <w:pPr>
        <w:pStyle w:val="Heading3"/>
        <w:rPr>
          <w:rFonts w:ascii="Times New Roman" w:hAnsi="Times New Roman" w:cs="Times New Roman"/>
          <w:sz w:val="24"/>
          <w:szCs w:val="24"/>
        </w:rPr>
      </w:pPr>
      <w:r>
        <w:rPr>
          <w:rFonts w:ascii="Times New Roman" w:hAnsi="Times New Roman" w:cs="Times New Roman"/>
          <w:sz w:val="24"/>
          <w:szCs w:val="24"/>
        </w:rPr>
        <w:t>2.1</w:t>
      </w:r>
      <w:r w:rsidRPr="000E4AF2">
        <w:rPr>
          <w:rFonts w:ascii="Times New Roman" w:hAnsi="Times New Roman" w:cs="Times New Roman"/>
          <w:i/>
          <w:sz w:val="24"/>
          <w:szCs w:val="24"/>
        </w:rPr>
        <w:t xml:space="preserve"> </w:t>
      </w:r>
      <w:r>
        <w:rPr>
          <w:rFonts w:ascii="Times New Roman" w:hAnsi="Times New Roman" w:cs="Times New Roman"/>
          <w:sz w:val="24"/>
          <w:szCs w:val="24"/>
        </w:rPr>
        <w:t>Transport-Level: Trusted Connection</w:t>
      </w:r>
    </w:p>
    <w:tbl>
      <w:tblPr>
        <w:tblStyle w:val="TableGrid"/>
        <w:tblW w:w="0" w:type="auto"/>
        <w:tblLook w:val="04A0" w:firstRow="1" w:lastRow="0" w:firstColumn="1" w:lastColumn="0" w:noHBand="0" w:noVBand="1"/>
      </w:tblPr>
      <w:tblGrid>
        <w:gridCol w:w="828"/>
        <w:gridCol w:w="7668"/>
      </w:tblGrid>
      <w:tr w:rsidR="00D61161" w:rsidTr="00046069">
        <w:trPr>
          <w:trHeight w:val="557"/>
        </w:trPr>
        <w:sdt>
          <w:sdtPr>
            <w:id w:val="1778060617"/>
            <w14:checkbox>
              <w14:checked w14:val="0"/>
              <w14:checkedState w14:val="2612" w14:font="Arial Unicode MS"/>
              <w14:uncheckedState w14:val="2610" w14:font="Arial Unicode MS"/>
            </w14:checkbox>
          </w:sdtPr>
          <w:sdtEndPr/>
          <w:sdtContent>
            <w:tc>
              <w:tcPr>
                <w:tcW w:w="828" w:type="dxa"/>
                <w:vAlign w:val="center"/>
              </w:tcPr>
              <w:p w:rsidR="00D61161" w:rsidRDefault="00D61161" w:rsidP="00D61161">
                <w:pPr>
                  <w:spacing w:line="360" w:lineRule="auto"/>
                  <w:rPr>
                    <w:u w:val="single"/>
                  </w:rPr>
                </w:pPr>
                <w:r>
                  <w:rPr>
                    <w:rFonts w:ascii="MS Gothic" w:eastAsia="MS Gothic" w:hAnsi="MS Gothic" w:hint="eastAsia"/>
                  </w:rPr>
                  <w:t>☐</w:t>
                </w:r>
              </w:p>
            </w:tc>
          </w:sdtContent>
        </w:sdt>
        <w:tc>
          <w:tcPr>
            <w:tcW w:w="7668" w:type="dxa"/>
            <w:vAlign w:val="center"/>
          </w:tcPr>
          <w:p w:rsidR="00D61161" w:rsidRDefault="00D61161" w:rsidP="00D61161">
            <w:pPr>
              <w:spacing w:line="360" w:lineRule="auto"/>
            </w:pPr>
            <w:r>
              <w:t>Health IT developer identifies the encryption and hashing algorithms used.  Proctor records in designated section above.</w:t>
            </w:r>
          </w:p>
        </w:tc>
      </w:tr>
      <w:tr w:rsidR="00D61161" w:rsidTr="00046069">
        <w:trPr>
          <w:trHeight w:val="359"/>
        </w:trPr>
        <w:sdt>
          <w:sdtPr>
            <w:id w:val="16978086"/>
            <w14:checkbox>
              <w14:checked w14:val="0"/>
              <w14:checkedState w14:val="2612" w14:font="Arial Unicode MS"/>
              <w14:uncheckedState w14:val="2610" w14:font="Arial Unicode MS"/>
            </w14:checkbox>
          </w:sdtPr>
          <w:sdtEndPr/>
          <w:sdtContent>
            <w:tc>
              <w:tcPr>
                <w:tcW w:w="828" w:type="dxa"/>
                <w:vAlign w:val="center"/>
              </w:tcPr>
              <w:p w:rsidR="00D61161" w:rsidRDefault="00D61161" w:rsidP="00D61161">
                <w:pPr>
                  <w:spacing w:line="360" w:lineRule="auto"/>
                </w:pPr>
                <w:r>
                  <w:rPr>
                    <w:rFonts w:ascii="MS Gothic" w:eastAsia="MS Gothic" w:hAnsi="MS Gothic" w:hint="eastAsia"/>
                  </w:rPr>
                  <w:t>☐</w:t>
                </w:r>
              </w:p>
            </w:tc>
          </w:sdtContent>
        </w:sdt>
        <w:tc>
          <w:tcPr>
            <w:tcW w:w="7668" w:type="dxa"/>
            <w:vAlign w:val="center"/>
          </w:tcPr>
          <w:p w:rsidR="00D61161" w:rsidRPr="00C15A82" w:rsidRDefault="00D61161" w:rsidP="00F7295C">
            <w:pPr>
              <w:spacing w:line="360" w:lineRule="auto"/>
            </w:pPr>
            <w:r>
              <w:t>Health IT module establishes at least one trusted connection in accordance with</w:t>
            </w:r>
            <w:r w:rsidR="00F7295C">
              <w:t xml:space="preserve"> §</w:t>
            </w:r>
            <w:r w:rsidR="00F7295C" w:rsidRPr="00B35ED9">
              <w:t>170.210(a</w:t>
            </w:r>
            <w:proofErr w:type="gramStart"/>
            <w:r w:rsidR="00F7295C" w:rsidRPr="00B35ED9">
              <w:t>)(</w:t>
            </w:r>
            <w:proofErr w:type="gramEnd"/>
            <w:r w:rsidR="00F7295C" w:rsidRPr="00B35ED9">
              <w:t xml:space="preserve">2) </w:t>
            </w:r>
            <w:r w:rsidR="00F7295C">
              <w:t>and (c</w:t>
            </w:r>
            <w:r w:rsidR="00F7295C" w:rsidRPr="00B35ED9">
              <w:t>)(2)</w:t>
            </w:r>
            <w:r>
              <w:t>.</w:t>
            </w:r>
          </w:p>
        </w:tc>
      </w:tr>
      <w:tr w:rsidR="00D61161" w:rsidTr="00046069">
        <w:trPr>
          <w:trHeight w:val="359"/>
        </w:trPr>
        <w:sdt>
          <w:sdtPr>
            <w:id w:val="19365814"/>
            <w14:checkbox>
              <w14:checked w14:val="0"/>
              <w14:checkedState w14:val="2612" w14:font="Arial Unicode MS"/>
              <w14:uncheckedState w14:val="2610" w14:font="Arial Unicode MS"/>
            </w14:checkbox>
          </w:sdtPr>
          <w:sdtEndPr/>
          <w:sdtContent>
            <w:tc>
              <w:tcPr>
                <w:tcW w:w="828" w:type="dxa"/>
                <w:vAlign w:val="center"/>
              </w:tcPr>
              <w:p w:rsidR="00D61161" w:rsidRDefault="00D61161" w:rsidP="00D61161">
                <w:pPr>
                  <w:spacing w:line="360" w:lineRule="auto"/>
                </w:pPr>
                <w:r>
                  <w:rPr>
                    <w:rFonts w:ascii="MS Gothic" w:eastAsia="MS Gothic" w:hAnsi="MS Gothic" w:hint="eastAsia"/>
                  </w:rPr>
                  <w:t>☐</w:t>
                </w:r>
              </w:p>
            </w:tc>
          </w:sdtContent>
        </w:sdt>
        <w:tc>
          <w:tcPr>
            <w:tcW w:w="7668" w:type="dxa"/>
            <w:vAlign w:val="center"/>
          </w:tcPr>
          <w:p w:rsidR="00D61161" w:rsidRDefault="001916A1" w:rsidP="001916A1">
            <w:pPr>
              <w:spacing w:line="360" w:lineRule="auto"/>
            </w:pPr>
            <w:r>
              <w:t>Proctor views</w:t>
            </w:r>
            <w:r w:rsidR="00AF78C9">
              <w:t xml:space="preserve"> the </w:t>
            </w:r>
            <w:r w:rsidR="00AF78C9" w:rsidRPr="00AF78C9">
              <w:t>encryption handshake to ensure that the digital certificates are being invoked during the connection</w:t>
            </w:r>
            <w:r w:rsidR="000B4F3F">
              <w:t>.</w:t>
            </w:r>
          </w:p>
        </w:tc>
      </w:tr>
    </w:tbl>
    <w:p w:rsidR="00E10163" w:rsidRDefault="00E10163" w:rsidP="00E10163">
      <w:pPr>
        <w:spacing w:line="360" w:lineRule="auto"/>
        <w:rPr>
          <w:color w:val="A6A6A6" w:themeColor="background1" w:themeShade="A6"/>
        </w:rPr>
      </w:pPr>
    </w:p>
    <w:p w:rsidR="00E10163" w:rsidRDefault="00E10163" w:rsidP="00E10163">
      <w:pPr>
        <w:spacing w:line="360" w:lineRule="auto"/>
        <w:rPr>
          <w:color w:val="A6A6A6" w:themeColor="background1" w:themeShade="A6"/>
        </w:rPr>
      </w:pPr>
      <w:r w:rsidRPr="00F118BE">
        <w:rPr>
          <w:color w:val="A6A6A6" w:themeColor="background1" w:themeShade="A6"/>
        </w:rPr>
        <w:t>&lt;</w:t>
      </w:r>
      <w:r>
        <w:rPr>
          <w:color w:val="A6A6A6" w:themeColor="background1" w:themeShade="A6"/>
        </w:rPr>
        <w:t xml:space="preserve">INSERT </w:t>
      </w:r>
      <w:r w:rsidR="00AF78C9">
        <w:rPr>
          <w:color w:val="A6A6A6" w:themeColor="background1" w:themeShade="A6"/>
        </w:rPr>
        <w:t>SCREENSHOTS</w:t>
      </w:r>
      <w:r w:rsidRPr="00F118BE">
        <w:rPr>
          <w:color w:val="A6A6A6" w:themeColor="background1" w:themeShade="A6"/>
        </w:rPr>
        <w:t>&gt;</w:t>
      </w:r>
      <w:r w:rsidR="00AF78C9">
        <w:rPr>
          <w:color w:val="A6A6A6" w:themeColor="background1" w:themeShade="A6"/>
        </w:rPr>
        <w:t xml:space="preserve"> </w:t>
      </w:r>
    </w:p>
    <w:p w:rsidR="00992490" w:rsidRDefault="00992490">
      <w:pPr>
        <w:rPr>
          <w:rFonts w:ascii="Arial" w:hAnsi="Arial" w:cs="Arial"/>
          <w:b/>
          <w:bCs/>
          <w:kern w:val="32"/>
          <w:sz w:val="32"/>
          <w:szCs w:val="32"/>
        </w:rPr>
      </w:pPr>
      <w:bookmarkStart w:id="7" w:name="_Toc432066410"/>
    </w:p>
    <w:p w:rsidR="001611F5" w:rsidRDefault="001611F5">
      <w:pPr>
        <w:rPr>
          <w:rFonts w:ascii="Arial" w:hAnsi="Arial" w:cs="Arial"/>
          <w:b/>
          <w:bCs/>
          <w:kern w:val="32"/>
          <w:sz w:val="32"/>
          <w:szCs w:val="32"/>
        </w:rPr>
      </w:pPr>
      <w:r>
        <w:br w:type="page"/>
      </w: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1916A1" w:rsidRDefault="001916A1" w:rsidP="001916A1">
      <w:r>
        <w:t>Rev 01-Apr-2016 Additions</w:t>
      </w:r>
    </w:p>
    <w:p w:rsidR="001916A1" w:rsidRDefault="001916A1" w:rsidP="001916A1">
      <w:pPr>
        <w:pStyle w:val="ListParagraph"/>
        <w:numPr>
          <w:ilvl w:val="0"/>
          <w:numId w:val="42"/>
        </w:numPr>
      </w:pPr>
      <w:r>
        <w:t xml:space="preserve">Developers have freedom to demonstrate the encryption handshake based on the technology they are using.  For example, if a developer has a browser-based module that uses HTTP, the developer could demonstrate the "lock" icon in the browser that indicates that HTTP is present and working properly. </w:t>
      </w:r>
    </w:p>
    <w:p w:rsidR="001916A1" w:rsidRDefault="001916A1" w:rsidP="00362E3C"/>
    <w:p w:rsidR="00031C7D" w:rsidRDefault="00031C7D" w:rsidP="00362E3C">
      <w:r>
        <w:t xml:space="preserve">Rev </w:t>
      </w:r>
      <w:r w:rsidR="001611F5">
        <w:t>01-Mar</w:t>
      </w:r>
      <w:r w:rsidR="00464152">
        <w:t xml:space="preserve">-2016 </w:t>
      </w:r>
      <w:r>
        <w:t>Additions</w:t>
      </w:r>
    </w:p>
    <w:p w:rsidR="00BC57D5" w:rsidRDefault="00BC57D5" w:rsidP="00BC57D5">
      <w:pPr>
        <w:pStyle w:val="ListParagraph"/>
        <w:numPr>
          <w:ilvl w:val="0"/>
          <w:numId w:val="38"/>
        </w:numPr>
      </w:pPr>
      <w:r>
        <w:t>Health IT needs to provide a level of trusted connection using either 1) encrypted and integrity message protection or 2) a trusted connection for transport. Either of these methods must be demonstrated in accordance with the following standards: Annex A: FIPS Publication 140-2, Security Requirements for Cryptographic Modules and FIPS PUB 180-4, Secure Hash Standard, 180-4.</w:t>
      </w:r>
    </w:p>
    <w:p w:rsidR="00DC0225" w:rsidRDefault="00BC57D5" w:rsidP="00BC57D5">
      <w:pPr>
        <w:pStyle w:val="ListParagraph"/>
        <w:numPr>
          <w:ilvl w:val="0"/>
          <w:numId w:val="38"/>
        </w:numPr>
      </w:pPr>
      <w:r>
        <w:t>A “trusted connection” means the link is encrypted/integrity protected according to § 170.210(a</w:t>
      </w:r>
      <w:proofErr w:type="gramStart"/>
      <w:r>
        <w:t>)(</w:t>
      </w:r>
      <w:proofErr w:type="gramEnd"/>
      <w:r>
        <w:t xml:space="preserve">2) or (c)(2). As such, we do not believe it is necessary to specifically name HTTPS and/or SSL/TLS as this standard already covers encryption and integrity protection for data in motion. </w:t>
      </w:r>
    </w:p>
    <w:p w:rsidR="000F6782" w:rsidRDefault="000F6782" w:rsidP="000F6782"/>
    <w:p w:rsidR="00DF20C5" w:rsidRDefault="00DF20C5">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E6277C" w:rsidP="00A3038C">
      <w:pPr>
        <w:autoSpaceDE w:val="0"/>
        <w:autoSpaceDN w:val="0"/>
        <w:adjustRightInd w:val="0"/>
        <w:rPr>
          <w:b/>
          <w:u w:val="single"/>
        </w:rPr>
      </w:pPr>
      <w:r>
        <w:rPr>
          <w:b/>
        </w:rPr>
        <w:t>§170.314(d</w:t>
      </w:r>
      <w:proofErr w:type="gramStart"/>
      <w:r w:rsidR="00A3038C" w:rsidRPr="007D3617">
        <w:rPr>
          <w:b/>
        </w:rPr>
        <w:t>)(</w:t>
      </w:r>
      <w:proofErr w:type="gramEnd"/>
      <w:r w:rsidR="00850AC0">
        <w:rPr>
          <w:b/>
        </w:rPr>
        <w:t>9</w:t>
      </w:r>
      <w:r w:rsidR="00A3038C" w:rsidRPr="007D3617">
        <w:rPr>
          <w:b/>
        </w:rPr>
        <w:t xml:space="preserve">) </w:t>
      </w:r>
      <w:r w:rsidR="00850AC0">
        <w:rPr>
          <w:b/>
          <w:u w:val="single"/>
        </w:rPr>
        <w:t>Trusted Connection</w:t>
      </w:r>
      <w:r w:rsidR="00A3038C" w:rsidRPr="00247BAB">
        <w:rPr>
          <w:b/>
          <w:u w:val="single"/>
        </w:rPr>
        <w:t>.</w:t>
      </w:r>
      <w:r w:rsidR="00A3038C">
        <w:rPr>
          <w:b/>
          <w:u w:val="single"/>
        </w:rPr>
        <w:t xml:space="preserve"> </w:t>
      </w:r>
    </w:p>
    <w:p w:rsidR="00850AC0" w:rsidRDefault="00850AC0" w:rsidP="00850AC0">
      <w:pPr>
        <w:autoSpaceDE w:val="0"/>
        <w:autoSpaceDN w:val="0"/>
        <w:adjustRightInd w:val="0"/>
      </w:pPr>
      <w:r>
        <w:t>Establish a trusted connection using one of the following methods:</w:t>
      </w:r>
    </w:p>
    <w:p w:rsidR="00850AC0" w:rsidRDefault="00850AC0" w:rsidP="00FA07C8">
      <w:pPr>
        <w:autoSpaceDE w:val="0"/>
        <w:autoSpaceDN w:val="0"/>
        <w:adjustRightInd w:val="0"/>
        <w:ind w:left="720"/>
      </w:pPr>
      <w:r>
        <w:t>(</w:t>
      </w:r>
      <w:proofErr w:type="spellStart"/>
      <w:r>
        <w:t>i</w:t>
      </w:r>
      <w:proofErr w:type="spellEnd"/>
      <w:r>
        <w:t>) Message-level. Encrypt and integrity protect message contents in accordance with the standards specified in § 170.210(a</w:t>
      </w:r>
      <w:proofErr w:type="gramStart"/>
      <w:r>
        <w:t>)(</w:t>
      </w:r>
      <w:proofErr w:type="gramEnd"/>
      <w:r>
        <w:t>2) and (c)(2).</w:t>
      </w:r>
    </w:p>
    <w:p w:rsidR="007D39A2" w:rsidRDefault="00850AC0" w:rsidP="00FA07C8">
      <w:pPr>
        <w:autoSpaceDE w:val="0"/>
        <w:autoSpaceDN w:val="0"/>
        <w:adjustRightInd w:val="0"/>
        <w:ind w:left="720"/>
      </w:pPr>
      <w:r>
        <w:t>(ii) Transport-level. Use a trusted connection in accordance with the standards specified in §170.210(a</w:t>
      </w:r>
      <w:proofErr w:type="gramStart"/>
      <w:r>
        <w:t>)(</w:t>
      </w:r>
      <w:proofErr w:type="gramEnd"/>
      <w:r>
        <w:t>2) and (c)(2).</w:t>
      </w:r>
    </w:p>
    <w:p w:rsidR="00850AC0" w:rsidRPr="001D4D33" w:rsidRDefault="00850AC0" w:rsidP="00850AC0">
      <w:pPr>
        <w:autoSpaceDE w:val="0"/>
        <w:autoSpaceDN w:val="0"/>
        <w:adjustRightInd w:val="0"/>
      </w:pPr>
    </w:p>
    <w:p w:rsidR="007D39A2" w:rsidRDefault="007D39A2" w:rsidP="007D39A2">
      <w:pPr>
        <w:rPr>
          <w:b/>
        </w:rPr>
      </w:pPr>
      <w:r w:rsidRPr="00C44EB8">
        <w:rPr>
          <w:b/>
        </w:rPr>
        <w:t>§170.</w:t>
      </w:r>
      <w:r>
        <w:rPr>
          <w:b/>
        </w:rPr>
        <w:t>210</w:t>
      </w:r>
      <w:r w:rsidRPr="00C44EB8">
        <w:rPr>
          <w:b/>
        </w:rPr>
        <w:t>(</w:t>
      </w:r>
      <w:r>
        <w:rPr>
          <w:b/>
        </w:rPr>
        <w:t>a</w:t>
      </w:r>
      <w:proofErr w:type="gramStart"/>
      <w:r w:rsidRPr="00C44EB8">
        <w:rPr>
          <w:b/>
        </w:rPr>
        <w:t>)(</w:t>
      </w:r>
      <w:proofErr w:type="gramEnd"/>
      <w:r>
        <w:rPr>
          <w:b/>
        </w:rPr>
        <w:t>2</w:t>
      </w:r>
      <w:r w:rsidRPr="00C44EB8">
        <w:rPr>
          <w:b/>
        </w:rPr>
        <w:t>) Encryption and decryption of electronic health information</w:t>
      </w:r>
      <w:r>
        <w:rPr>
          <w:b/>
        </w:rPr>
        <w:t>.</w:t>
      </w:r>
    </w:p>
    <w:p w:rsidR="007D39A2" w:rsidRDefault="007D39A2" w:rsidP="007D39A2">
      <w:pPr>
        <w:ind w:left="720"/>
      </w:pPr>
      <w:r>
        <w:t xml:space="preserve">Any encryption algorithm identified by the National Institute of Standards and Technology (NIST) as an approved security function in Annex A of the </w:t>
      </w:r>
      <w:hyperlink r:id="rId10" w:history="1">
        <w:r w:rsidRPr="00A85791">
          <w:rPr>
            <w:rStyle w:val="Hyperlink"/>
          </w:rPr>
          <w:t>Federal Information Processing Standards (FIPS) Publication 140-2</w:t>
        </w:r>
      </w:hyperlink>
      <w:r>
        <w:t>, October 8, 2014</w:t>
      </w:r>
    </w:p>
    <w:p w:rsidR="00FA07C8" w:rsidRDefault="00FA07C8" w:rsidP="00FA07C8"/>
    <w:p w:rsidR="00FA07C8" w:rsidRDefault="00FA07C8" w:rsidP="00FA07C8">
      <w:pPr>
        <w:rPr>
          <w:b/>
        </w:rPr>
      </w:pPr>
      <w:r w:rsidRPr="00C44EB8">
        <w:rPr>
          <w:b/>
        </w:rPr>
        <w:t>§170.</w:t>
      </w:r>
      <w:r>
        <w:rPr>
          <w:b/>
        </w:rPr>
        <w:t>210</w:t>
      </w:r>
      <w:r w:rsidRPr="00C44EB8">
        <w:rPr>
          <w:b/>
        </w:rPr>
        <w:t>(</w:t>
      </w:r>
      <w:r>
        <w:rPr>
          <w:b/>
        </w:rPr>
        <w:t>c</w:t>
      </w:r>
      <w:proofErr w:type="gramStart"/>
      <w:r w:rsidRPr="00C44EB8">
        <w:rPr>
          <w:b/>
        </w:rPr>
        <w:t>)(</w:t>
      </w:r>
      <w:proofErr w:type="gramEnd"/>
      <w:r>
        <w:rPr>
          <w:b/>
        </w:rPr>
        <w:t>2</w:t>
      </w:r>
      <w:r w:rsidRPr="00C44EB8">
        <w:rPr>
          <w:b/>
        </w:rPr>
        <w:t>) Encryption and decryption of electronic health information</w:t>
      </w:r>
      <w:r>
        <w:rPr>
          <w:b/>
        </w:rPr>
        <w:t>.</w:t>
      </w:r>
    </w:p>
    <w:p w:rsidR="00FA07C8" w:rsidRDefault="00FA07C8" w:rsidP="00FA07C8">
      <w:pPr>
        <w:autoSpaceDE w:val="0"/>
        <w:autoSpaceDN w:val="0"/>
        <w:adjustRightInd w:val="0"/>
        <w:ind w:left="720"/>
      </w:pPr>
      <w:r>
        <w:t>A hashing algorithm with a security strength equal to or greater than SHA-2 as</w:t>
      </w:r>
    </w:p>
    <w:p w:rsidR="00FA07C8" w:rsidRDefault="00FA07C8" w:rsidP="00FA07C8">
      <w:pPr>
        <w:ind w:left="720"/>
      </w:pPr>
      <w:proofErr w:type="gramStart"/>
      <w:r>
        <w:t>specified</w:t>
      </w:r>
      <w:proofErr w:type="gramEnd"/>
      <w:r>
        <w:t xml:space="preserve"> by NIST in </w:t>
      </w:r>
      <w:hyperlink r:id="rId11" w:history="1">
        <w:r w:rsidRPr="00FA07C8">
          <w:rPr>
            <w:rStyle w:val="Hyperlink"/>
          </w:rPr>
          <w:t>FIPS PUB 180- 4, Secure Hash Standard, 180-4 (August 2015)</w:t>
        </w:r>
      </w:hyperlink>
    </w:p>
    <w:p w:rsidR="00362E3C" w:rsidRDefault="00362E3C" w:rsidP="00F50F42"/>
    <w:p w:rsidR="00362E3C" w:rsidRDefault="00362E3C" w:rsidP="00362E3C">
      <w:pPr>
        <w:ind w:left="720"/>
      </w:pPr>
    </w:p>
    <w:p w:rsidR="00362E3C" w:rsidRDefault="00362E3C" w:rsidP="00362E3C">
      <w:pPr>
        <w:ind w:left="720"/>
      </w:pPr>
    </w:p>
    <w:p w:rsidR="00DF20C5" w:rsidRDefault="00DF20C5">
      <w:r>
        <w:br w:type="page"/>
      </w:r>
    </w:p>
    <w:p w:rsidR="00362E3C" w:rsidRPr="00DF20C5" w:rsidRDefault="00362E3C" w:rsidP="00AF4B14">
      <w:pPr>
        <w:pStyle w:val="Heading1"/>
      </w:pPr>
      <w:bookmarkStart w:id="11" w:name="_Toc432066412"/>
      <w:bookmarkEnd w:id="2"/>
      <w:r w:rsidRPr="00DF20C5">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464152">
        <w:tc>
          <w:tcPr>
            <w:tcW w:w="2052" w:type="dxa"/>
          </w:tcPr>
          <w:p w:rsidR="00362E3C" w:rsidRDefault="00362E3C" w:rsidP="004A3AA7">
            <w:r>
              <w:t>Revision</w:t>
            </w:r>
          </w:p>
        </w:tc>
        <w:tc>
          <w:tcPr>
            <w:tcW w:w="6578" w:type="dxa"/>
          </w:tcPr>
          <w:p w:rsidR="00362E3C" w:rsidRDefault="00362E3C" w:rsidP="004A3AA7">
            <w:r>
              <w:t>Change Description</w:t>
            </w:r>
          </w:p>
        </w:tc>
      </w:tr>
      <w:tr w:rsidR="00464152" w:rsidTr="00464152">
        <w:tc>
          <w:tcPr>
            <w:tcW w:w="2052" w:type="dxa"/>
          </w:tcPr>
          <w:p w:rsidR="00464152" w:rsidRDefault="00D85823" w:rsidP="00464152">
            <w:r>
              <w:t>01-Dec-2016</w:t>
            </w:r>
          </w:p>
        </w:tc>
        <w:tc>
          <w:tcPr>
            <w:tcW w:w="6578" w:type="dxa"/>
          </w:tcPr>
          <w:p w:rsidR="00464152" w:rsidRDefault="00D85823" w:rsidP="00711DF8">
            <w:r>
              <w:t>Updated Message Level test section 1.2 to include encrypting message content in</w:t>
            </w:r>
            <w:r w:rsidR="00EF72EA">
              <w:t xml:space="preserve"> addition to integrity protecting</w:t>
            </w:r>
            <w:r>
              <w:t>.</w:t>
            </w:r>
            <w:bookmarkStart w:id="12" w:name="_GoBack"/>
            <w:bookmarkEnd w:id="12"/>
          </w:p>
        </w:tc>
      </w:tr>
      <w:tr w:rsidR="00D85823" w:rsidTr="00464152">
        <w:tc>
          <w:tcPr>
            <w:tcW w:w="2052" w:type="dxa"/>
          </w:tcPr>
          <w:p w:rsidR="00D85823" w:rsidRDefault="00D85823" w:rsidP="00D85823">
            <w:r>
              <w:t>01-July-2016</w:t>
            </w:r>
          </w:p>
        </w:tc>
        <w:tc>
          <w:tcPr>
            <w:tcW w:w="6578" w:type="dxa"/>
          </w:tcPr>
          <w:p w:rsidR="00D85823" w:rsidRDefault="00D85823" w:rsidP="00D85823">
            <w:r>
              <w:t>Re-numbered sections.  Removed “documentation” sections and replaced with sections further describing Privacy and Security attestation (1.1 and 2.1).</w:t>
            </w:r>
          </w:p>
        </w:tc>
      </w:tr>
      <w:tr w:rsidR="00D85823" w:rsidTr="00464152">
        <w:tc>
          <w:tcPr>
            <w:tcW w:w="2052" w:type="dxa"/>
          </w:tcPr>
          <w:p w:rsidR="00D85823" w:rsidRDefault="00D85823" w:rsidP="00D85823">
            <w:r>
              <w:t>01-Jun-2016</w:t>
            </w:r>
          </w:p>
        </w:tc>
        <w:tc>
          <w:tcPr>
            <w:tcW w:w="6578" w:type="dxa"/>
          </w:tcPr>
          <w:p w:rsidR="00D85823" w:rsidRDefault="00D85823" w:rsidP="00D85823">
            <w:r>
              <w:t>Added text boxes to indicate if this P&amp;S module applies to all certified criteria and reference to the attestation based on “Privacy and Security Framework” document.</w:t>
            </w:r>
          </w:p>
        </w:tc>
      </w:tr>
      <w:tr w:rsidR="00D85823" w:rsidTr="00464152">
        <w:tc>
          <w:tcPr>
            <w:tcW w:w="2052" w:type="dxa"/>
          </w:tcPr>
          <w:p w:rsidR="00D85823" w:rsidRDefault="00D85823" w:rsidP="00D85823">
            <w:r>
              <w:t>01-Apr-2016</w:t>
            </w:r>
          </w:p>
        </w:tc>
        <w:tc>
          <w:tcPr>
            <w:tcW w:w="6578" w:type="dxa"/>
          </w:tcPr>
          <w:p w:rsidR="00D85823" w:rsidRDefault="00D85823" w:rsidP="00D85823">
            <w:r>
              <w:t>Added clarification regarding encryption demonstration under Appendix A.</w:t>
            </w:r>
          </w:p>
        </w:tc>
      </w:tr>
      <w:tr w:rsidR="00D85823" w:rsidTr="00464152">
        <w:tc>
          <w:tcPr>
            <w:tcW w:w="2052" w:type="dxa"/>
          </w:tcPr>
          <w:p w:rsidR="00D85823" w:rsidRDefault="00D85823" w:rsidP="00D85823">
            <w:r>
              <w:t>01-Mar</w:t>
            </w:r>
            <w:r w:rsidRPr="00660DA6">
              <w:t>-2016</w:t>
            </w:r>
          </w:p>
        </w:tc>
        <w:tc>
          <w:tcPr>
            <w:tcW w:w="6578" w:type="dxa"/>
          </w:tcPr>
          <w:p w:rsidR="00D85823" w:rsidRDefault="00D85823" w:rsidP="00D85823">
            <w:r>
              <w:t>Initial Release.</w:t>
            </w:r>
          </w:p>
        </w:tc>
      </w:tr>
      <w:tr w:rsidR="00D85823" w:rsidTr="00464152">
        <w:tc>
          <w:tcPr>
            <w:tcW w:w="2052" w:type="dxa"/>
          </w:tcPr>
          <w:p w:rsidR="00D85823" w:rsidRDefault="00D85823" w:rsidP="00D85823"/>
        </w:tc>
        <w:tc>
          <w:tcPr>
            <w:tcW w:w="6578" w:type="dxa"/>
          </w:tcPr>
          <w:p w:rsidR="00D85823" w:rsidRDefault="00D85823" w:rsidP="00D85823"/>
        </w:tc>
      </w:tr>
      <w:tr w:rsidR="00D85823" w:rsidTr="00464152">
        <w:tc>
          <w:tcPr>
            <w:tcW w:w="2052" w:type="dxa"/>
          </w:tcPr>
          <w:p w:rsidR="00D85823" w:rsidRDefault="00D85823" w:rsidP="00D85823"/>
        </w:tc>
        <w:tc>
          <w:tcPr>
            <w:tcW w:w="6578" w:type="dxa"/>
          </w:tcPr>
          <w:p w:rsidR="00D85823" w:rsidRDefault="00D85823" w:rsidP="00D85823"/>
        </w:tc>
      </w:tr>
      <w:tr w:rsidR="00D85823" w:rsidTr="00464152">
        <w:tc>
          <w:tcPr>
            <w:tcW w:w="2052" w:type="dxa"/>
          </w:tcPr>
          <w:p w:rsidR="00D85823" w:rsidRDefault="00D85823" w:rsidP="00D85823"/>
        </w:tc>
        <w:tc>
          <w:tcPr>
            <w:tcW w:w="6578" w:type="dxa"/>
          </w:tcPr>
          <w:p w:rsidR="00D85823" w:rsidRDefault="00D85823" w:rsidP="00D85823"/>
        </w:tc>
      </w:tr>
    </w:tbl>
    <w:p w:rsidR="00362E3C" w:rsidRPr="00EB79BD" w:rsidRDefault="00362E3C" w:rsidP="00362E3C"/>
    <w:p w:rsidR="00362E3C" w:rsidRDefault="00362E3C" w:rsidP="00362E3C"/>
    <w:p w:rsidR="00362E3C" w:rsidRDefault="00362E3C" w:rsidP="00362E3C">
      <w:pPr>
        <w:pStyle w:val="Heading1"/>
      </w:pPr>
    </w:p>
    <w:p w:rsidR="001611F5" w:rsidRDefault="001611F5">
      <w:pPr>
        <w:rPr>
          <w:rFonts w:ascii="Calibri" w:hAnsi="Calibri"/>
          <w:b/>
          <w:bCs/>
          <w:sz w:val="22"/>
          <w:szCs w:val="22"/>
        </w:rPr>
      </w:pPr>
      <w:r>
        <w:rPr>
          <w:rFonts w:ascii="Calibri" w:hAnsi="Calibri"/>
          <w:b/>
          <w:bCs/>
          <w:sz w:val="22"/>
          <w:szCs w:val="22"/>
        </w:rP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0717A5">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FEE" w:rsidRDefault="00E37FEE">
      <w:r>
        <w:separator/>
      </w:r>
    </w:p>
  </w:endnote>
  <w:endnote w:type="continuationSeparator" w:id="0">
    <w:p w:rsidR="00E37FEE" w:rsidRDefault="00E3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Segoe UI"/>
    <w:panose1 w:val="020B0502040204020203"/>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152" w:rsidRDefault="00464152" w:rsidP="00464152">
    <w:pPr>
      <w:pStyle w:val="Footer"/>
      <w:jc w:val="right"/>
      <w:rPr>
        <w:b/>
        <w:color w:val="000000"/>
        <w:sz w:val="16"/>
        <w:szCs w:val="16"/>
      </w:rPr>
    </w:pPr>
    <w:r>
      <w:rPr>
        <w:b/>
        <w:color w:val="000000"/>
        <w:sz w:val="16"/>
        <w:szCs w:val="16"/>
      </w:rPr>
      <w:t>R</w:t>
    </w:r>
    <w:r w:rsidR="004E53F7">
      <w:rPr>
        <w:b/>
        <w:color w:val="000000"/>
        <w:sz w:val="16"/>
        <w:szCs w:val="16"/>
      </w:rPr>
      <w:t>ev.: 01</w:t>
    </w:r>
    <w:r w:rsidR="00D85823">
      <w:rPr>
        <w:b/>
        <w:color w:val="000000"/>
        <w:sz w:val="16"/>
        <w:szCs w:val="16"/>
      </w:rPr>
      <w:t>Dec</w:t>
    </w:r>
    <w:r>
      <w:rPr>
        <w:b/>
        <w:color w:val="000000"/>
        <w:sz w:val="16"/>
        <w:szCs w:val="16"/>
      </w:rPr>
      <w:t>2016</w:t>
    </w:r>
  </w:p>
  <w:p w:rsidR="00464152" w:rsidRDefault="00464152" w:rsidP="00464152">
    <w:pPr>
      <w:pStyle w:val="Footer"/>
      <w:jc w:val="right"/>
      <w:rPr>
        <w:b/>
        <w:color w:val="000000"/>
        <w:sz w:val="16"/>
        <w:szCs w:val="16"/>
      </w:rPr>
    </w:pPr>
    <w:r>
      <w:rPr>
        <w:b/>
        <w:color w:val="000000"/>
        <w:sz w:val="16"/>
        <w:szCs w:val="16"/>
      </w:rPr>
      <w:t>EHR Test-155</w:t>
    </w:r>
  </w:p>
  <w:p w:rsidR="00464152" w:rsidRDefault="00464152" w:rsidP="00464152">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EF72EA">
      <w:rPr>
        <w:b/>
        <w:noProof/>
        <w:sz w:val="16"/>
        <w:szCs w:val="16"/>
      </w:rPr>
      <w:t>12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EF72EA">
      <w:rPr>
        <w:b/>
        <w:noProof/>
        <w:sz w:val="16"/>
        <w:szCs w:val="16"/>
      </w:rPr>
      <w:t>13</w:t>
    </w:r>
    <w:r>
      <w:rPr>
        <w:b/>
        <w:sz w:val="16"/>
        <w:szCs w:val="16"/>
      </w:rPr>
      <w:fldChar w:fldCharType="end"/>
    </w:r>
  </w:p>
  <w:p w:rsidR="00464152" w:rsidRPr="00894E8A" w:rsidRDefault="00464152" w:rsidP="00464152">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464152" w:rsidRPr="00894E8A" w:rsidRDefault="00464152" w:rsidP="00464152">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894E8A" w:rsidRDefault="006B0544" w:rsidP="00D63A5B">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FEE" w:rsidRDefault="00E37FEE">
      <w:r>
        <w:separator/>
      </w:r>
    </w:p>
  </w:footnote>
  <w:footnote w:type="continuationSeparator" w:id="0">
    <w:p w:rsidR="00E37FEE" w:rsidRDefault="00E37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E37F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E37FEE"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A93D09">
      <w:rPr>
        <w:b/>
        <w:color w:val="000000"/>
        <w:sz w:val="32"/>
        <w:szCs w:val="32"/>
      </w:rPr>
      <w:tab/>
    </w:r>
    <w:r w:rsidR="00A93D09">
      <w:rPr>
        <w:b/>
        <w:color w:val="000000"/>
        <w:sz w:val="32"/>
        <w:szCs w:val="32"/>
      </w:rPr>
      <w:tab/>
      <w:t xml:space="preserve">      </w:t>
    </w:r>
    <w:r w:rsidR="004E22D6">
      <w:rPr>
        <w:b/>
        <w:color w:val="000000"/>
      </w:rPr>
      <w:t>170.315</w:t>
    </w:r>
    <w:proofErr w:type="gramStart"/>
    <w:r w:rsidR="004E22D6">
      <w:rPr>
        <w:b/>
        <w:color w:val="000000"/>
      </w:rPr>
      <w:t>.d.9</w:t>
    </w:r>
    <w:proofErr w:type="gramEnd"/>
    <w:r w:rsidR="006E6CFC">
      <w:rPr>
        <w:b/>
        <w:color w:val="000000"/>
      </w:rPr>
      <w:t xml:space="preserve"> </w:t>
    </w:r>
    <w:r w:rsidR="004E22D6">
      <w:rPr>
        <w:b/>
        <w:color w:val="000000"/>
      </w:rPr>
      <w:t>Trusted Connection</w:t>
    </w:r>
    <w:r w:rsidR="0040387A">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E37F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715D"/>
    <w:multiLevelType w:val="multilevel"/>
    <w:tmpl w:val="A0D80E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5A3BB0"/>
    <w:multiLevelType w:val="hybridMultilevel"/>
    <w:tmpl w:val="FE9403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A711A6"/>
    <w:multiLevelType w:val="hybridMultilevel"/>
    <w:tmpl w:val="83D05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2C2C55"/>
    <w:multiLevelType w:val="hybridMultilevel"/>
    <w:tmpl w:val="D05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1D2C65"/>
    <w:multiLevelType w:val="multilevel"/>
    <w:tmpl w:val="CF743E2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206CC6"/>
    <w:multiLevelType w:val="hybridMultilevel"/>
    <w:tmpl w:val="5736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01573"/>
    <w:multiLevelType w:val="hybridMultilevel"/>
    <w:tmpl w:val="F3D0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CF550F8"/>
    <w:multiLevelType w:val="multilevel"/>
    <w:tmpl w:val="E86E836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D3E7475"/>
    <w:multiLevelType w:val="hybridMultilevel"/>
    <w:tmpl w:val="D896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8"/>
  </w:num>
  <w:num w:numId="2">
    <w:abstractNumId w:val="7"/>
  </w:num>
  <w:num w:numId="3">
    <w:abstractNumId w:val="16"/>
  </w:num>
  <w:num w:numId="4">
    <w:abstractNumId w:val="15"/>
  </w:num>
  <w:num w:numId="5">
    <w:abstractNumId w:val="22"/>
  </w:num>
  <w:num w:numId="6">
    <w:abstractNumId w:val="8"/>
  </w:num>
  <w:num w:numId="7">
    <w:abstractNumId w:val="9"/>
  </w:num>
  <w:num w:numId="8">
    <w:abstractNumId w:val="29"/>
  </w:num>
  <w:num w:numId="9">
    <w:abstractNumId w:val="11"/>
  </w:num>
  <w:num w:numId="10">
    <w:abstractNumId w:val="28"/>
  </w:num>
  <w:num w:numId="11">
    <w:abstractNumId w:val="6"/>
  </w:num>
  <w:num w:numId="12">
    <w:abstractNumId w:val="26"/>
  </w:num>
  <w:num w:numId="13">
    <w:abstractNumId w:val="21"/>
  </w:num>
  <w:num w:numId="14">
    <w:abstractNumId w:val="30"/>
  </w:num>
  <w:num w:numId="15">
    <w:abstractNumId w:val="31"/>
  </w:num>
  <w:num w:numId="16">
    <w:abstractNumId w:val="38"/>
  </w:num>
  <w:num w:numId="17">
    <w:abstractNumId w:val="3"/>
  </w:num>
  <w:num w:numId="18">
    <w:abstractNumId w:val="36"/>
  </w:num>
  <w:num w:numId="19">
    <w:abstractNumId w:val="33"/>
  </w:num>
  <w:num w:numId="2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5"/>
  </w:num>
  <w:num w:numId="23">
    <w:abstractNumId w:val="25"/>
  </w:num>
  <w:num w:numId="24">
    <w:abstractNumId w:val="23"/>
  </w:num>
  <w:num w:numId="25">
    <w:abstractNumId w:val="24"/>
  </w:num>
  <w:num w:numId="26">
    <w:abstractNumId w:val="40"/>
  </w:num>
  <w:num w:numId="27">
    <w:abstractNumId w:val="27"/>
  </w:num>
  <w:num w:numId="28">
    <w:abstractNumId w:val="37"/>
  </w:num>
  <w:num w:numId="29">
    <w:abstractNumId w:val="20"/>
  </w:num>
  <w:num w:numId="30">
    <w:abstractNumId w:val="12"/>
  </w:num>
  <w:num w:numId="31">
    <w:abstractNumId w:val="17"/>
  </w:num>
  <w:num w:numId="32">
    <w:abstractNumId w:val="32"/>
  </w:num>
  <w:num w:numId="33">
    <w:abstractNumId w:val="14"/>
  </w:num>
  <w:num w:numId="34">
    <w:abstractNumId w:val="34"/>
  </w:num>
  <w:num w:numId="35">
    <w:abstractNumId w:val="0"/>
  </w:num>
  <w:num w:numId="36">
    <w:abstractNumId w:val="10"/>
  </w:num>
  <w:num w:numId="37">
    <w:abstractNumId w:val="2"/>
  </w:num>
  <w:num w:numId="38">
    <w:abstractNumId w:val="4"/>
  </w:num>
  <w:num w:numId="39">
    <w:abstractNumId w:val="35"/>
  </w:num>
  <w:num w:numId="40">
    <w:abstractNumId w:val="19"/>
  </w:num>
  <w:num w:numId="41">
    <w:abstractNumId w:val="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BB3"/>
    <w:rsid w:val="00006967"/>
    <w:rsid w:val="00010CF9"/>
    <w:rsid w:val="000136BA"/>
    <w:rsid w:val="00017B5D"/>
    <w:rsid w:val="00017ED2"/>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55F1E"/>
    <w:rsid w:val="00062EDB"/>
    <w:rsid w:val="000638E6"/>
    <w:rsid w:val="00063DD0"/>
    <w:rsid w:val="00065309"/>
    <w:rsid w:val="000656BA"/>
    <w:rsid w:val="000717A5"/>
    <w:rsid w:val="000718AD"/>
    <w:rsid w:val="000737AF"/>
    <w:rsid w:val="0007540A"/>
    <w:rsid w:val="00075C49"/>
    <w:rsid w:val="00075DCA"/>
    <w:rsid w:val="0007769F"/>
    <w:rsid w:val="00080FD0"/>
    <w:rsid w:val="0008384D"/>
    <w:rsid w:val="0008418A"/>
    <w:rsid w:val="0008456F"/>
    <w:rsid w:val="00092310"/>
    <w:rsid w:val="0009560A"/>
    <w:rsid w:val="00097CD4"/>
    <w:rsid w:val="000A27DD"/>
    <w:rsid w:val="000A2D31"/>
    <w:rsid w:val="000A4D9A"/>
    <w:rsid w:val="000A4DA2"/>
    <w:rsid w:val="000A62A6"/>
    <w:rsid w:val="000B2167"/>
    <w:rsid w:val="000B2CA8"/>
    <w:rsid w:val="000B3D81"/>
    <w:rsid w:val="000B4F3F"/>
    <w:rsid w:val="000B54B8"/>
    <w:rsid w:val="000B68FE"/>
    <w:rsid w:val="000C0887"/>
    <w:rsid w:val="000C0938"/>
    <w:rsid w:val="000C1FDB"/>
    <w:rsid w:val="000C2A49"/>
    <w:rsid w:val="000C2BA6"/>
    <w:rsid w:val="000C3F05"/>
    <w:rsid w:val="000C7188"/>
    <w:rsid w:val="000C794F"/>
    <w:rsid w:val="000D5EE4"/>
    <w:rsid w:val="000D7CFC"/>
    <w:rsid w:val="000E3D79"/>
    <w:rsid w:val="000E4AF2"/>
    <w:rsid w:val="000E6311"/>
    <w:rsid w:val="000F6782"/>
    <w:rsid w:val="000F71EF"/>
    <w:rsid w:val="001011B5"/>
    <w:rsid w:val="00101400"/>
    <w:rsid w:val="00102347"/>
    <w:rsid w:val="0010252A"/>
    <w:rsid w:val="00102C49"/>
    <w:rsid w:val="00103B35"/>
    <w:rsid w:val="00105D7B"/>
    <w:rsid w:val="001128A5"/>
    <w:rsid w:val="00113D1D"/>
    <w:rsid w:val="00115F20"/>
    <w:rsid w:val="00116B42"/>
    <w:rsid w:val="00124587"/>
    <w:rsid w:val="00127916"/>
    <w:rsid w:val="00133301"/>
    <w:rsid w:val="0013504F"/>
    <w:rsid w:val="00136BE0"/>
    <w:rsid w:val="00143419"/>
    <w:rsid w:val="00146F1F"/>
    <w:rsid w:val="0014729D"/>
    <w:rsid w:val="00151447"/>
    <w:rsid w:val="001552A1"/>
    <w:rsid w:val="00156074"/>
    <w:rsid w:val="00157882"/>
    <w:rsid w:val="001611F5"/>
    <w:rsid w:val="00161A53"/>
    <w:rsid w:val="00165103"/>
    <w:rsid w:val="0016765A"/>
    <w:rsid w:val="00172C28"/>
    <w:rsid w:val="00172D5C"/>
    <w:rsid w:val="00174D10"/>
    <w:rsid w:val="00180A9E"/>
    <w:rsid w:val="00181021"/>
    <w:rsid w:val="00190714"/>
    <w:rsid w:val="001916A1"/>
    <w:rsid w:val="00193185"/>
    <w:rsid w:val="0019552B"/>
    <w:rsid w:val="001A300F"/>
    <w:rsid w:val="001A55F0"/>
    <w:rsid w:val="001A7287"/>
    <w:rsid w:val="001A7BFA"/>
    <w:rsid w:val="001B0112"/>
    <w:rsid w:val="001B2F8A"/>
    <w:rsid w:val="001B713D"/>
    <w:rsid w:val="001C0252"/>
    <w:rsid w:val="001C23FD"/>
    <w:rsid w:val="001D0A27"/>
    <w:rsid w:val="001D1BE5"/>
    <w:rsid w:val="001D1F57"/>
    <w:rsid w:val="001D6341"/>
    <w:rsid w:val="001E3197"/>
    <w:rsid w:val="001E43FC"/>
    <w:rsid w:val="001E4A32"/>
    <w:rsid w:val="001E5F28"/>
    <w:rsid w:val="001E7C59"/>
    <w:rsid w:val="001F056A"/>
    <w:rsid w:val="002015BB"/>
    <w:rsid w:val="0020410A"/>
    <w:rsid w:val="002056F0"/>
    <w:rsid w:val="00207377"/>
    <w:rsid w:val="00213922"/>
    <w:rsid w:val="0022327B"/>
    <w:rsid w:val="00224F21"/>
    <w:rsid w:val="00230E45"/>
    <w:rsid w:val="00231F99"/>
    <w:rsid w:val="0023498A"/>
    <w:rsid w:val="00235E08"/>
    <w:rsid w:val="0023696C"/>
    <w:rsid w:val="002378DE"/>
    <w:rsid w:val="00240637"/>
    <w:rsid w:val="00242B20"/>
    <w:rsid w:val="00242EF1"/>
    <w:rsid w:val="00243AA5"/>
    <w:rsid w:val="0024522E"/>
    <w:rsid w:val="002469C0"/>
    <w:rsid w:val="00246A96"/>
    <w:rsid w:val="002506CD"/>
    <w:rsid w:val="00252411"/>
    <w:rsid w:val="00253A43"/>
    <w:rsid w:val="002544D3"/>
    <w:rsid w:val="00255DC9"/>
    <w:rsid w:val="00257318"/>
    <w:rsid w:val="0027195F"/>
    <w:rsid w:val="002749C1"/>
    <w:rsid w:val="00276786"/>
    <w:rsid w:val="002806B4"/>
    <w:rsid w:val="00281F8D"/>
    <w:rsid w:val="0028223B"/>
    <w:rsid w:val="00282D9B"/>
    <w:rsid w:val="00286729"/>
    <w:rsid w:val="00293185"/>
    <w:rsid w:val="00294DBF"/>
    <w:rsid w:val="0029547F"/>
    <w:rsid w:val="00296C9E"/>
    <w:rsid w:val="00297D31"/>
    <w:rsid w:val="002B03E8"/>
    <w:rsid w:val="002B41B2"/>
    <w:rsid w:val="002B594B"/>
    <w:rsid w:val="002C15F7"/>
    <w:rsid w:val="002C27AE"/>
    <w:rsid w:val="002C7559"/>
    <w:rsid w:val="002D038B"/>
    <w:rsid w:val="002D3BEC"/>
    <w:rsid w:val="002D50A7"/>
    <w:rsid w:val="002D5304"/>
    <w:rsid w:val="002E3841"/>
    <w:rsid w:val="002E38C4"/>
    <w:rsid w:val="002E3C26"/>
    <w:rsid w:val="002E5D39"/>
    <w:rsid w:val="002F155B"/>
    <w:rsid w:val="002F4A2E"/>
    <w:rsid w:val="002F7958"/>
    <w:rsid w:val="00300946"/>
    <w:rsid w:val="0030412A"/>
    <w:rsid w:val="00304DF3"/>
    <w:rsid w:val="00304E70"/>
    <w:rsid w:val="00312127"/>
    <w:rsid w:val="00312AFC"/>
    <w:rsid w:val="003216C1"/>
    <w:rsid w:val="003228FF"/>
    <w:rsid w:val="00332F85"/>
    <w:rsid w:val="00333E8D"/>
    <w:rsid w:val="00336EDC"/>
    <w:rsid w:val="00337C96"/>
    <w:rsid w:val="00347368"/>
    <w:rsid w:val="00350E54"/>
    <w:rsid w:val="00351967"/>
    <w:rsid w:val="00356A25"/>
    <w:rsid w:val="00361501"/>
    <w:rsid w:val="00362E3C"/>
    <w:rsid w:val="00363215"/>
    <w:rsid w:val="003672AF"/>
    <w:rsid w:val="00375ECB"/>
    <w:rsid w:val="00394B5F"/>
    <w:rsid w:val="00395193"/>
    <w:rsid w:val="00395A28"/>
    <w:rsid w:val="003A4238"/>
    <w:rsid w:val="003B1CB6"/>
    <w:rsid w:val="003B29A3"/>
    <w:rsid w:val="003B3080"/>
    <w:rsid w:val="003B5D31"/>
    <w:rsid w:val="003B69BE"/>
    <w:rsid w:val="003B7D35"/>
    <w:rsid w:val="003C2FAB"/>
    <w:rsid w:val="003C3545"/>
    <w:rsid w:val="003C5568"/>
    <w:rsid w:val="003C5A89"/>
    <w:rsid w:val="003D0C58"/>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1020F"/>
    <w:rsid w:val="004151F1"/>
    <w:rsid w:val="00416A10"/>
    <w:rsid w:val="0041731B"/>
    <w:rsid w:val="004208AA"/>
    <w:rsid w:val="00423BE9"/>
    <w:rsid w:val="00425817"/>
    <w:rsid w:val="00432ED8"/>
    <w:rsid w:val="00433A78"/>
    <w:rsid w:val="00445293"/>
    <w:rsid w:val="00450818"/>
    <w:rsid w:val="004634F0"/>
    <w:rsid w:val="00464152"/>
    <w:rsid w:val="004748BF"/>
    <w:rsid w:val="00474E2A"/>
    <w:rsid w:val="00477E14"/>
    <w:rsid w:val="00482BAD"/>
    <w:rsid w:val="00483CCA"/>
    <w:rsid w:val="0049317B"/>
    <w:rsid w:val="0049355C"/>
    <w:rsid w:val="00496099"/>
    <w:rsid w:val="00496E55"/>
    <w:rsid w:val="004A01D2"/>
    <w:rsid w:val="004A0657"/>
    <w:rsid w:val="004A3AA7"/>
    <w:rsid w:val="004A6BA7"/>
    <w:rsid w:val="004A7C8A"/>
    <w:rsid w:val="004B1EBD"/>
    <w:rsid w:val="004B79E8"/>
    <w:rsid w:val="004C1AC2"/>
    <w:rsid w:val="004C251E"/>
    <w:rsid w:val="004C3732"/>
    <w:rsid w:val="004C47B5"/>
    <w:rsid w:val="004C6907"/>
    <w:rsid w:val="004D2E7F"/>
    <w:rsid w:val="004D45F3"/>
    <w:rsid w:val="004E01F0"/>
    <w:rsid w:val="004E2152"/>
    <w:rsid w:val="004E22D6"/>
    <w:rsid w:val="004E35BA"/>
    <w:rsid w:val="004E392E"/>
    <w:rsid w:val="004E53F7"/>
    <w:rsid w:val="004E565C"/>
    <w:rsid w:val="004E5BF8"/>
    <w:rsid w:val="004F04A1"/>
    <w:rsid w:val="004F56BB"/>
    <w:rsid w:val="00500B86"/>
    <w:rsid w:val="00507022"/>
    <w:rsid w:val="00512208"/>
    <w:rsid w:val="005138B8"/>
    <w:rsid w:val="00526D00"/>
    <w:rsid w:val="005331EB"/>
    <w:rsid w:val="00534CDF"/>
    <w:rsid w:val="00534F68"/>
    <w:rsid w:val="00535B6C"/>
    <w:rsid w:val="0054058F"/>
    <w:rsid w:val="00540F84"/>
    <w:rsid w:val="005466DC"/>
    <w:rsid w:val="00551824"/>
    <w:rsid w:val="00552652"/>
    <w:rsid w:val="00560ECA"/>
    <w:rsid w:val="00561BD6"/>
    <w:rsid w:val="00562510"/>
    <w:rsid w:val="00563FC7"/>
    <w:rsid w:val="00566FE3"/>
    <w:rsid w:val="00570710"/>
    <w:rsid w:val="00571AD3"/>
    <w:rsid w:val="005733C9"/>
    <w:rsid w:val="005769DE"/>
    <w:rsid w:val="00583CB0"/>
    <w:rsid w:val="00586615"/>
    <w:rsid w:val="005959FD"/>
    <w:rsid w:val="0059752C"/>
    <w:rsid w:val="005A27CE"/>
    <w:rsid w:val="005A5CC3"/>
    <w:rsid w:val="005A5CD8"/>
    <w:rsid w:val="005B1322"/>
    <w:rsid w:val="005C3EC4"/>
    <w:rsid w:val="005C41F3"/>
    <w:rsid w:val="005C4620"/>
    <w:rsid w:val="005C7B0B"/>
    <w:rsid w:val="005D24DB"/>
    <w:rsid w:val="005D5757"/>
    <w:rsid w:val="005D5D06"/>
    <w:rsid w:val="005D7DAE"/>
    <w:rsid w:val="005E28F5"/>
    <w:rsid w:val="005E2A61"/>
    <w:rsid w:val="005E4463"/>
    <w:rsid w:val="005E4BDF"/>
    <w:rsid w:val="005E5B86"/>
    <w:rsid w:val="005F020C"/>
    <w:rsid w:val="005F0E87"/>
    <w:rsid w:val="005F4354"/>
    <w:rsid w:val="005F464D"/>
    <w:rsid w:val="005F5A97"/>
    <w:rsid w:val="005F5DA0"/>
    <w:rsid w:val="00601A68"/>
    <w:rsid w:val="0060621F"/>
    <w:rsid w:val="00615BFF"/>
    <w:rsid w:val="006162CA"/>
    <w:rsid w:val="0062750E"/>
    <w:rsid w:val="00627E7F"/>
    <w:rsid w:val="00630251"/>
    <w:rsid w:val="00632B41"/>
    <w:rsid w:val="00633D96"/>
    <w:rsid w:val="00634649"/>
    <w:rsid w:val="00641425"/>
    <w:rsid w:val="006475F2"/>
    <w:rsid w:val="00652336"/>
    <w:rsid w:val="00652384"/>
    <w:rsid w:val="00652D34"/>
    <w:rsid w:val="00654463"/>
    <w:rsid w:val="00656957"/>
    <w:rsid w:val="00661363"/>
    <w:rsid w:val="00664086"/>
    <w:rsid w:val="0066530B"/>
    <w:rsid w:val="00665435"/>
    <w:rsid w:val="00666020"/>
    <w:rsid w:val="00670062"/>
    <w:rsid w:val="00670919"/>
    <w:rsid w:val="00671ECB"/>
    <w:rsid w:val="00672C37"/>
    <w:rsid w:val="00674AFC"/>
    <w:rsid w:val="00684DD8"/>
    <w:rsid w:val="006853FE"/>
    <w:rsid w:val="0069259C"/>
    <w:rsid w:val="006A4EB1"/>
    <w:rsid w:val="006A5B3D"/>
    <w:rsid w:val="006A5DFF"/>
    <w:rsid w:val="006A5F3F"/>
    <w:rsid w:val="006B0544"/>
    <w:rsid w:val="006B353C"/>
    <w:rsid w:val="006B3E9B"/>
    <w:rsid w:val="006C1E6B"/>
    <w:rsid w:val="006D0DFD"/>
    <w:rsid w:val="006D2AE3"/>
    <w:rsid w:val="006D3A92"/>
    <w:rsid w:val="006E0446"/>
    <w:rsid w:val="006E4732"/>
    <w:rsid w:val="006E4FC6"/>
    <w:rsid w:val="006E6CFC"/>
    <w:rsid w:val="006F07EF"/>
    <w:rsid w:val="006F1AD9"/>
    <w:rsid w:val="006F3DF7"/>
    <w:rsid w:val="00700BF6"/>
    <w:rsid w:val="007037A4"/>
    <w:rsid w:val="00704C2B"/>
    <w:rsid w:val="007050D8"/>
    <w:rsid w:val="007050EA"/>
    <w:rsid w:val="00711DF8"/>
    <w:rsid w:val="00716F15"/>
    <w:rsid w:val="00722F2F"/>
    <w:rsid w:val="00725543"/>
    <w:rsid w:val="007277A5"/>
    <w:rsid w:val="00736732"/>
    <w:rsid w:val="00736D90"/>
    <w:rsid w:val="00737100"/>
    <w:rsid w:val="00737178"/>
    <w:rsid w:val="007464BD"/>
    <w:rsid w:val="0075038E"/>
    <w:rsid w:val="0075155D"/>
    <w:rsid w:val="00752D80"/>
    <w:rsid w:val="007563B5"/>
    <w:rsid w:val="007674FB"/>
    <w:rsid w:val="007678EB"/>
    <w:rsid w:val="00767AF9"/>
    <w:rsid w:val="00772372"/>
    <w:rsid w:val="00772D11"/>
    <w:rsid w:val="00774694"/>
    <w:rsid w:val="007764AD"/>
    <w:rsid w:val="007773B8"/>
    <w:rsid w:val="007774B2"/>
    <w:rsid w:val="00780CD5"/>
    <w:rsid w:val="007812F1"/>
    <w:rsid w:val="00781A12"/>
    <w:rsid w:val="00782151"/>
    <w:rsid w:val="0079006E"/>
    <w:rsid w:val="007902A0"/>
    <w:rsid w:val="00795D54"/>
    <w:rsid w:val="007A0A5A"/>
    <w:rsid w:val="007A3DF8"/>
    <w:rsid w:val="007B122A"/>
    <w:rsid w:val="007B3237"/>
    <w:rsid w:val="007B44A7"/>
    <w:rsid w:val="007C1766"/>
    <w:rsid w:val="007C6A7A"/>
    <w:rsid w:val="007C7956"/>
    <w:rsid w:val="007D219D"/>
    <w:rsid w:val="007D39A2"/>
    <w:rsid w:val="007D6E6C"/>
    <w:rsid w:val="007E18E0"/>
    <w:rsid w:val="007E26F6"/>
    <w:rsid w:val="007E4666"/>
    <w:rsid w:val="007E4947"/>
    <w:rsid w:val="007E5673"/>
    <w:rsid w:val="007E5A44"/>
    <w:rsid w:val="007F2F29"/>
    <w:rsid w:val="007F6B57"/>
    <w:rsid w:val="007F73D0"/>
    <w:rsid w:val="007F75EB"/>
    <w:rsid w:val="00802166"/>
    <w:rsid w:val="00803692"/>
    <w:rsid w:val="00804F5C"/>
    <w:rsid w:val="00805347"/>
    <w:rsid w:val="008057E3"/>
    <w:rsid w:val="00805C46"/>
    <w:rsid w:val="008067F9"/>
    <w:rsid w:val="00806AA3"/>
    <w:rsid w:val="008102EA"/>
    <w:rsid w:val="00811CEC"/>
    <w:rsid w:val="0081494C"/>
    <w:rsid w:val="00815536"/>
    <w:rsid w:val="00815ED7"/>
    <w:rsid w:val="008163E0"/>
    <w:rsid w:val="00820B7C"/>
    <w:rsid w:val="008216D9"/>
    <w:rsid w:val="00825FAD"/>
    <w:rsid w:val="00825FBD"/>
    <w:rsid w:val="0082645E"/>
    <w:rsid w:val="00826499"/>
    <w:rsid w:val="00832EAA"/>
    <w:rsid w:val="00835138"/>
    <w:rsid w:val="00837C98"/>
    <w:rsid w:val="008441DC"/>
    <w:rsid w:val="00846EE6"/>
    <w:rsid w:val="008474F3"/>
    <w:rsid w:val="00850AC0"/>
    <w:rsid w:val="00854D10"/>
    <w:rsid w:val="008575E2"/>
    <w:rsid w:val="008603F5"/>
    <w:rsid w:val="00863910"/>
    <w:rsid w:val="008650D5"/>
    <w:rsid w:val="008711DF"/>
    <w:rsid w:val="008718BA"/>
    <w:rsid w:val="0087425C"/>
    <w:rsid w:val="00877912"/>
    <w:rsid w:val="00882958"/>
    <w:rsid w:val="00882FCB"/>
    <w:rsid w:val="00884B3F"/>
    <w:rsid w:val="00885145"/>
    <w:rsid w:val="00890497"/>
    <w:rsid w:val="008938F2"/>
    <w:rsid w:val="00894E8A"/>
    <w:rsid w:val="00895E98"/>
    <w:rsid w:val="008A3D6B"/>
    <w:rsid w:val="008A4E56"/>
    <w:rsid w:val="008A71A2"/>
    <w:rsid w:val="008B3D7C"/>
    <w:rsid w:val="008B3F4F"/>
    <w:rsid w:val="008B7D72"/>
    <w:rsid w:val="008C0DF2"/>
    <w:rsid w:val="008C3B5F"/>
    <w:rsid w:val="008C6355"/>
    <w:rsid w:val="008D0FC4"/>
    <w:rsid w:val="008D6DF4"/>
    <w:rsid w:val="008E3515"/>
    <w:rsid w:val="008E51C7"/>
    <w:rsid w:val="008E5BA6"/>
    <w:rsid w:val="008E7308"/>
    <w:rsid w:val="008F0CE5"/>
    <w:rsid w:val="008F5CB9"/>
    <w:rsid w:val="00900917"/>
    <w:rsid w:val="0090490B"/>
    <w:rsid w:val="00912AB3"/>
    <w:rsid w:val="00912DB0"/>
    <w:rsid w:val="00914AAA"/>
    <w:rsid w:val="009153C8"/>
    <w:rsid w:val="00930206"/>
    <w:rsid w:val="00940BD4"/>
    <w:rsid w:val="00947A53"/>
    <w:rsid w:val="00947F62"/>
    <w:rsid w:val="009503CF"/>
    <w:rsid w:val="009515CA"/>
    <w:rsid w:val="009538A5"/>
    <w:rsid w:val="00955877"/>
    <w:rsid w:val="00957D2C"/>
    <w:rsid w:val="00963829"/>
    <w:rsid w:val="00967EEA"/>
    <w:rsid w:val="00971581"/>
    <w:rsid w:val="009749FB"/>
    <w:rsid w:val="00974C2E"/>
    <w:rsid w:val="00982A06"/>
    <w:rsid w:val="00982B9F"/>
    <w:rsid w:val="0098581A"/>
    <w:rsid w:val="00992490"/>
    <w:rsid w:val="009A1685"/>
    <w:rsid w:val="009A1760"/>
    <w:rsid w:val="009A5889"/>
    <w:rsid w:val="009A6B70"/>
    <w:rsid w:val="009B1340"/>
    <w:rsid w:val="009B2190"/>
    <w:rsid w:val="009B2326"/>
    <w:rsid w:val="009B3907"/>
    <w:rsid w:val="009B454F"/>
    <w:rsid w:val="009B4D4A"/>
    <w:rsid w:val="009B73E6"/>
    <w:rsid w:val="009C34C2"/>
    <w:rsid w:val="009C43B4"/>
    <w:rsid w:val="009D5A77"/>
    <w:rsid w:val="009D5B8F"/>
    <w:rsid w:val="009D6088"/>
    <w:rsid w:val="009E1DB2"/>
    <w:rsid w:val="009E3B76"/>
    <w:rsid w:val="009E58B3"/>
    <w:rsid w:val="009E7DE9"/>
    <w:rsid w:val="009F721E"/>
    <w:rsid w:val="00A05A9B"/>
    <w:rsid w:val="00A1775F"/>
    <w:rsid w:val="00A17EE3"/>
    <w:rsid w:val="00A205AD"/>
    <w:rsid w:val="00A21CB3"/>
    <w:rsid w:val="00A21DA5"/>
    <w:rsid w:val="00A2484F"/>
    <w:rsid w:val="00A260B0"/>
    <w:rsid w:val="00A3038C"/>
    <w:rsid w:val="00A30B26"/>
    <w:rsid w:val="00A3278B"/>
    <w:rsid w:val="00A33569"/>
    <w:rsid w:val="00A369C5"/>
    <w:rsid w:val="00A42E4B"/>
    <w:rsid w:val="00A44ACB"/>
    <w:rsid w:val="00A455FD"/>
    <w:rsid w:val="00A461C4"/>
    <w:rsid w:val="00A467AA"/>
    <w:rsid w:val="00A5019D"/>
    <w:rsid w:val="00A51E26"/>
    <w:rsid w:val="00A54344"/>
    <w:rsid w:val="00A55EE0"/>
    <w:rsid w:val="00A5732A"/>
    <w:rsid w:val="00A702BE"/>
    <w:rsid w:val="00A70D15"/>
    <w:rsid w:val="00A80CE4"/>
    <w:rsid w:val="00A821F7"/>
    <w:rsid w:val="00A871EA"/>
    <w:rsid w:val="00A87521"/>
    <w:rsid w:val="00A90F19"/>
    <w:rsid w:val="00A911A2"/>
    <w:rsid w:val="00A93071"/>
    <w:rsid w:val="00A9314C"/>
    <w:rsid w:val="00A93D09"/>
    <w:rsid w:val="00A956A9"/>
    <w:rsid w:val="00AA1216"/>
    <w:rsid w:val="00AA3FC6"/>
    <w:rsid w:val="00AB0725"/>
    <w:rsid w:val="00AB0FEE"/>
    <w:rsid w:val="00AB3EA6"/>
    <w:rsid w:val="00AB5E69"/>
    <w:rsid w:val="00AB617D"/>
    <w:rsid w:val="00AC228E"/>
    <w:rsid w:val="00AC3FA3"/>
    <w:rsid w:val="00AC7814"/>
    <w:rsid w:val="00AD04B5"/>
    <w:rsid w:val="00AD0EED"/>
    <w:rsid w:val="00AD583F"/>
    <w:rsid w:val="00AD59D9"/>
    <w:rsid w:val="00AD6373"/>
    <w:rsid w:val="00AE09A7"/>
    <w:rsid w:val="00AE2482"/>
    <w:rsid w:val="00AE770B"/>
    <w:rsid w:val="00AF00E0"/>
    <w:rsid w:val="00AF3B2E"/>
    <w:rsid w:val="00AF4B14"/>
    <w:rsid w:val="00AF78C9"/>
    <w:rsid w:val="00B00BC1"/>
    <w:rsid w:val="00B022FE"/>
    <w:rsid w:val="00B0271A"/>
    <w:rsid w:val="00B037E7"/>
    <w:rsid w:val="00B06CD6"/>
    <w:rsid w:val="00B11519"/>
    <w:rsid w:val="00B14792"/>
    <w:rsid w:val="00B22219"/>
    <w:rsid w:val="00B24CEC"/>
    <w:rsid w:val="00B25FAC"/>
    <w:rsid w:val="00B27E8F"/>
    <w:rsid w:val="00B35ED9"/>
    <w:rsid w:val="00B360A3"/>
    <w:rsid w:val="00B41E40"/>
    <w:rsid w:val="00B426B3"/>
    <w:rsid w:val="00B502B4"/>
    <w:rsid w:val="00B50908"/>
    <w:rsid w:val="00B51252"/>
    <w:rsid w:val="00B52DBE"/>
    <w:rsid w:val="00B5370B"/>
    <w:rsid w:val="00B55319"/>
    <w:rsid w:val="00B65019"/>
    <w:rsid w:val="00B67AA1"/>
    <w:rsid w:val="00B67D00"/>
    <w:rsid w:val="00B704EA"/>
    <w:rsid w:val="00B725FB"/>
    <w:rsid w:val="00B748B3"/>
    <w:rsid w:val="00B74F7C"/>
    <w:rsid w:val="00B75D8C"/>
    <w:rsid w:val="00B77254"/>
    <w:rsid w:val="00B77808"/>
    <w:rsid w:val="00B80073"/>
    <w:rsid w:val="00B879CA"/>
    <w:rsid w:val="00B9310A"/>
    <w:rsid w:val="00B945EB"/>
    <w:rsid w:val="00B94AD0"/>
    <w:rsid w:val="00B966E0"/>
    <w:rsid w:val="00BA0EF0"/>
    <w:rsid w:val="00BA5104"/>
    <w:rsid w:val="00BA5C92"/>
    <w:rsid w:val="00BA70B9"/>
    <w:rsid w:val="00BB1011"/>
    <w:rsid w:val="00BB136A"/>
    <w:rsid w:val="00BB1C64"/>
    <w:rsid w:val="00BB1CB8"/>
    <w:rsid w:val="00BB1D21"/>
    <w:rsid w:val="00BB3C2E"/>
    <w:rsid w:val="00BB4AAF"/>
    <w:rsid w:val="00BB5DFE"/>
    <w:rsid w:val="00BB5F95"/>
    <w:rsid w:val="00BC25E5"/>
    <w:rsid w:val="00BC26A9"/>
    <w:rsid w:val="00BC35B4"/>
    <w:rsid w:val="00BC51D3"/>
    <w:rsid w:val="00BC57D5"/>
    <w:rsid w:val="00BC5F6D"/>
    <w:rsid w:val="00BD61F1"/>
    <w:rsid w:val="00BD737D"/>
    <w:rsid w:val="00BE13B4"/>
    <w:rsid w:val="00BE5907"/>
    <w:rsid w:val="00BF05D0"/>
    <w:rsid w:val="00C02A12"/>
    <w:rsid w:val="00C1100C"/>
    <w:rsid w:val="00C11443"/>
    <w:rsid w:val="00C16958"/>
    <w:rsid w:val="00C16EDE"/>
    <w:rsid w:val="00C171F2"/>
    <w:rsid w:val="00C250C5"/>
    <w:rsid w:val="00C3137C"/>
    <w:rsid w:val="00C31E69"/>
    <w:rsid w:val="00C334CE"/>
    <w:rsid w:val="00C34948"/>
    <w:rsid w:val="00C360A5"/>
    <w:rsid w:val="00C3657C"/>
    <w:rsid w:val="00C379BF"/>
    <w:rsid w:val="00C44E24"/>
    <w:rsid w:val="00C45CB4"/>
    <w:rsid w:val="00C501E5"/>
    <w:rsid w:val="00C52062"/>
    <w:rsid w:val="00C52EBF"/>
    <w:rsid w:val="00C57FAE"/>
    <w:rsid w:val="00C626A3"/>
    <w:rsid w:val="00C62EDC"/>
    <w:rsid w:val="00C70AA4"/>
    <w:rsid w:val="00C75C32"/>
    <w:rsid w:val="00C76B4D"/>
    <w:rsid w:val="00C8047E"/>
    <w:rsid w:val="00C80705"/>
    <w:rsid w:val="00C8076F"/>
    <w:rsid w:val="00C808A2"/>
    <w:rsid w:val="00C80B8D"/>
    <w:rsid w:val="00C812AF"/>
    <w:rsid w:val="00C82B6E"/>
    <w:rsid w:val="00C8328C"/>
    <w:rsid w:val="00C8433E"/>
    <w:rsid w:val="00C90616"/>
    <w:rsid w:val="00C90CBC"/>
    <w:rsid w:val="00C91319"/>
    <w:rsid w:val="00C93FD9"/>
    <w:rsid w:val="00C95F40"/>
    <w:rsid w:val="00C96740"/>
    <w:rsid w:val="00C96762"/>
    <w:rsid w:val="00CA2DC4"/>
    <w:rsid w:val="00CA2E5D"/>
    <w:rsid w:val="00CA2E62"/>
    <w:rsid w:val="00CA443F"/>
    <w:rsid w:val="00CA5473"/>
    <w:rsid w:val="00CA6BB3"/>
    <w:rsid w:val="00CB00A7"/>
    <w:rsid w:val="00CB0B3B"/>
    <w:rsid w:val="00CB0BEB"/>
    <w:rsid w:val="00CB1B38"/>
    <w:rsid w:val="00CB2A3D"/>
    <w:rsid w:val="00CB4820"/>
    <w:rsid w:val="00CB5B6F"/>
    <w:rsid w:val="00CC1C9D"/>
    <w:rsid w:val="00CC38C0"/>
    <w:rsid w:val="00CC5410"/>
    <w:rsid w:val="00CD4476"/>
    <w:rsid w:val="00CD4F99"/>
    <w:rsid w:val="00CE1835"/>
    <w:rsid w:val="00CF2A93"/>
    <w:rsid w:val="00CF3C7B"/>
    <w:rsid w:val="00CF41F0"/>
    <w:rsid w:val="00D06160"/>
    <w:rsid w:val="00D06F8D"/>
    <w:rsid w:val="00D074BF"/>
    <w:rsid w:val="00D11214"/>
    <w:rsid w:val="00D1429E"/>
    <w:rsid w:val="00D15323"/>
    <w:rsid w:val="00D20043"/>
    <w:rsid w:val="00D21561"/>
    <w:rsid w:val="00D22DD6"/>
    <w:rsid w:val="00D2534F"/>
    <w:rsid w:val="00D25438"/>
    <w:rsid w:val="00D2674D"/>
    <w:rsid w:val="00D302B9"/>
    <w:rsid w:val="00D30B5F"/>
    <w:rsid w:val="00D31FAF"/>
    <w:rsid w:val="00D40B1D"/>
    <w:rsid w:val="00D431C4"/>
    <w:rsid w:val="00D46E52"/>
    <w:rsid w:val="00D57882"/>
    <w:rsid w:val="00D61161"/>
    <w:rsid w:val="00D62944"/>
    <w:rsid w:val="00D63A5B"/>
    <w:rsid w:val="00D66D62"/>
    <w:rsid w:val="00D702CF"/>
    <w:rsid w:val="00D71138"/>
    <w:rsid w:val="00D71179"/>
    <w:rsid w:val="00D719C6"/>
    <w:rsid w:val="00D72C55"/>
    <w:rsid w:val="00D75745"/>
    <w:rsid w:val="00D8104E"/>
    <w:rsid w:val="00D82568"/>
    <w:rsid w:val="00D85823"/>
    <w:rsid w:val="00D85D06"/>
    <w:rsid w:val="00D958A0"/>
    <w:rsid w:val="00DA068C"/>
    <w:rsid w:val="00DA12D4"/>
    <w:rsid w:val="00DA3B2F"/>
    <w:rsid w:val="00DA6054"/>
    <w:rsid w:val="00DB0B7E"/>
    <w:rsid w:val="00DB1A9C"/>
    <w:rsid w:val="00DB388D"/>
    <w:rsid w:val="00DB51C0"/>
    <w:rsid w:val="00DC0064"/>
    <w:rsid w:val="00DC014F"/>
    <w:rsid w:val="00DC0225"/>
    <w:rsid w:val="00DC07B0"/>
    <w:rsid w:val="00DC4989"/>
    <w:rsid w:val="00DC5B72"/>
    <w:rsid w:val="00DC6B16"/>
    <w:rsid w:val="00DC737C"/>
    <w:rsid w:val="00DD01B2"/>
    <w:rsid w:val="00DD1F6E"/>
    <w:rsid w:val="00DD5102"/>
    <w:rsid w:val="00DE0139"/>
    <w:rsid w:val="00DE3306"/>
    <w:rsid w:val="00DE6058"/>
    <w:rsid w:val="00DF0A99"/>
    <w:rsid w:val="00DF1759"/>
    <w:rsid w:val="00DF1EEC"/>
    <w:rsid w:val="00DF20C5"/>
    <w:rsid w:val="00DF76FA"/>
    <w:rsid w:val="00E00285"/>
    <w:rsid w:val="00E05105"/>
    <w:rsid w:val="00E05937"/>
    <w:rsid w:val="00E0647F"/>
    <w:rsid w:val="00E07169"/>
    <w:rsid w:val="00E10163"/>
    <w:rsid w:val="00E10E71"/>
    <w:rsid w:val="00E13327"/>
    <w:rsid w:val="00E212FA"/>
    <w:rsid w:val="00E22856"/>
    <w:rsid w:val="00E27D57"/>
    <w:rsid w:val="00E349AC"/>
    <w:rsid w:val="00E369F7"/>
    <w:rsid w:val="00E36A4E"/>
    <w:rsid w:val="00E37FEE"/>
    <w:rsid w:val="00E42307"/>
    <w:rsid w:val="00E43946"/>
    <w:rsid w:val="00E441C8"/>
    <w:rsid w:val="00E442E6"/>
    <w:rsid w:val="00E451C1"/>
    <w:rsid w:val="00E521CD"/>
    <w:rsid w:val="00E55E01"/>
    <w:rsid w:val="00E60D04"/>
    <w:rsid w:val="00E618ED"/>
    <w:rsid w:val="00E6277C"/>
    <w:rsid w:val="00E64628"/>
    <w:rsid w:val="00E66F7C"/>
    <w:rsid w:val="00E673CF"/>
    <w:rsid w:val="00E706CF"/>
    <w:rsid w:val="00E72E82"/>
    <w:rsid w:val="00E74F71"/>
    <w:rsid w:val="00E759BD"/>
    <w:rsid w:val="00E97C6A"/>
    <w:rsid w:val="00EA042C"/>
    <w:rsid w:val="00EA076D"/>
    <w:rsid w:val="00EA1DEC"/>
    <w:rsid w:val="00EA23E5"/>
    <w:rsid w:val="00EA4153"/>
    <w:rsid w:val="00EA6CFD"/>
    <w:rsid w:val="00EB2BF0"/>
    <w:rsid w:val="00EB56F0"/>
    <w:rsid w:val="00EB6163"/>
    <w:rsid w:val="00EB62BE"/>
    <w:rsid w:val="00EC0A10"/>
    <w:rsid w:val="00EC0B9F"/>
    <w:rsid w:val="00EC34F8"/>
    <w:rsid w:val="00EC3BE1"/>
    <w:rsid w:val="00EC4B2D"/>
    <w:rsid w:val="00EC50D1"/>
    <w:rsid w:val="00ED02A1"/>
    <w:rsid w:val="00ED22F7"/>
    <w:rsid w:val="00ED755F"/>
    <w:rsid w:val="00EE21F6"/>
    <w:rsid w:val="00EE5402"/>
    <w:rsid w:val="00EE5F75"/>
    <w:rsid w:val="00EE6276"/>
    <w:rsid w:val="00EF01ED"/>
    <w:rsid w:val="00EF72EA"/>
    <w:rsid w:val="00F03F3F"/>
    <w:rsid w:val="00F05059"/>
    <w:rsid w:val="00F05559"/>
    <w:rsid w:val="00F101E7"/>
    <w:rsid w:val="00F118BE"/>
    <w:rsid w:val="00F13DD2"/>
    <w:rsid w:val="00F14EFD"/>
    <w:rsid w:val="00F15D42"/>
    <w:rsid w:val="00F2204E"/>
    <w:rsid w:val="00F3402C"/>
    <w:rsid w:val="00F37EB0"/>
    <w:rsid w:val="00F417A2"/>
    <w:rsid w:val="00F448D1"/>
    <w:rsid w:val="00F50CC4"/>
    <w:rsid w:val="00F50F42"/>
    <w:rsid w:val="00F527CF"/>
    <w:rsid w:val="00F645EA"/>
    <w:rsid w:val="00F656B7"/>
    <w:rsid w:val="00F656E8"/>
    <w:rsid w:val="00F67A9F"/>
    <w:rsid w:val="00F7295C"/>
    <w:rsid w:val="00F77170"/>
    <w:rsid w:val="00F8220E"/>
    <w:rsid w:val="00F826AB"/>
    <w:rsid w:val="00F8311E"/>
    <w:rsid w:val="00F9529A"/>
    <w:rsid w:val="00FA07C8"/>
    <w:rsid w:val="00FA7B5D"/>
    <w:rsid w:val="00FB252C"/>
    <w:rsid w:val="00FB29DF"/>
    <w:rsid w:val="00FB31D1"/>
    <w:rsid w:val="00FB4905"/>
    <w:rsid w:val="00FB6379"/>
    <w:rsid w:val="00FB6D58"/>
    <w:rsid w:val="00FC0C86"/>
    <w:rsid w:val="00FC15A5"/>
    <w:rsid w:val="00FC2397"/>
    <w:rsid w:val="00FC3236"/>
    <w:rsid w:val="00FC3677"/>
    <w:rsid w:val="00FC4633"/>
    <w:rsid w:val="00FC57E7"/>
    <w:rsid w:val="00FC5B5F"/>
    <w:rsid w:val="00FC7A15"/>
    <w:rsid w:val="00FC7BBB"/>
    <w:rsid w:val="00FD0BAE"/>
    <w:rsid w:val="00FD43AA"/>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fips/fips140-2/fips1402annexa.pdf"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FIPS/NIST.FIPS.180-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src.nist.gov/publications/fips/fips140-2/fips140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vlpubs.nist.gov/nistpubs/FIPS/NIST.FIPS.180-4.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BDF6-D0B1-4134-94C1-D1A7ED60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13268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2016-12-01T05:21:00Z</dcterms:created>
  <dcterms:modified xsi:type="dcterms:W3CDTF">2016-12-01T05:24:00Z</dcterms:modified>
</cp:coreProperties>
</file>